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25F" w:rsidRDefault="00E2425F" w:rsidP="00A57E0C">
      <w:pPr>
        <w:suppressAutoHyphens/>
        <w:jc w:val="both"/>
        <w:rPr>
          <w:rFonts w:asciiTheme="majorHAnsi" w:hAnsiTheme="majorHAnsi"/>
          <w:b/>
          <w:bCs/>
          <w:sz w:val="32"/>
        </w:rPr>
      </w:pPr>
    </w:p>
    <w:p w:rsidR="00E2425F" w:rsidRDefault="00E2425F" w:rsidP="006B59A4">
      <w:pPr>
        <w:suppressAutoHyphens/>
        <w:jc w:val="center"/>
        <w:rPr>
          <w:rFonts w:asciiTheme="majorHAnsi" w:hAnsiTheme="majorHAnsi"/>
          <w:b/>
          <w:bCs/>
          <w:sz w:val="32"/>
        </w:rPr>
      </w:pPr>
      <w:r>
        <w:rPr>
          <w:rFonts w:asciiTheme="majorHAnsi" w:hAnsiTheme="majorHAnsi"/>
          <w:b/>
          <w:bCs/>
          <w:sz w:val="32"/>
        </w:rPr>
        <w:t>Headquarters, United States Marine Corps</w:t>
      </w:r>
    </w:p>
    <w:p w:rsidR="00E2425F" w:rsidRPr="00E0048D" w:rsidRDefault="00E2425F" w:rsidP="006B59A4">
      <w:pPr>
        <w:suppressAutoHyphens/>
        <w:jc w:val="center"/>
        <w:rPr>
          <w:rFonts w:asciiTheme="majorHAnsi" w:hAnsiTheme="majorHAnsi"/>
          <w:b/>
          <w:bCs/>
          <w:sz w:val="32"/>
        </w:rPr>
      </w:pPr>
      <w:r>
        <w:rPr>
          <w:rFonts w:asciiTheme="majorHAnsi" w:hAnsiTheme="majorHAnsi"/>
          <w:b/>
          <w:bCs/>
          <w:sz w:val="32"/>
        </w:rPr>
        <w:t>Marine Corps Installations Command (MCICOM)</w:t>
      </w:r>
    </w:p>
    <w:p w:rsidR="00E2425F" w:rsidRPr="00CE5DCA" w:rsidRDefault="00E2425F" w:rsidP="006B59A4">
      <w:pPr>
        <w:suppressAutoHyphens/>
        <w:jc w:val="center"/>
        <w:rPr>
          <w:rFonts w:asciiTheme="majorHAnsi" w:hAnsiTheme="majorHAnsi"/>
          <w:b/>
          <w:sz w:val="36"/>
        </w:rPr>
      </w:pPr>
      <w:r>
        <w:rPr>
          <w:rFonts w:asciiTheme="majorHAnsi" w:hAnsiTheme="majorHAnsi"/>
          <w:b/>
          <w:bCs/>
          <w:sz w:val="32"/>
        </w:rPr>
        <w:t>Facilities Directorate, (GF-</w:t>
      </w:r>
      <w:r w:rsidR="003163D1">
        <w:rPr>
          <w:rFonts w:asciiTheme="majorHAnsi" w:hAnsiTheme="majorHAnsi"/>
          <w:b/>
          <w:bCs/>
          <w:sz w:val="32"/>
        </w:rPr>
        <w:t>1</w:t>
      </w:r>
      <w:r>
        <w:rPr>
          <w:rFonts w:asciiTheme="majorHAnsi" w:hAnsiTheme="majorHAnsi"/>
          <w:b/>
          <w:bCs/>
          <w:sz w:val="32"/>
        </w:rPr>
        <w:t>)</w:t>
      </w:r>
    </w:p>
    <w:p w:rsidR="00E2425F" w:rsidRPr="00E0048D" w:rsidRDefault="00E2425F" w:rsidP="006B59A4">
      <w:pPr>
        <w:suppressAutoHyphens/>
        <w:jc w:val="center"/>
        <w:rPr>
          <w:rFonts w:asciiTheme="majorHAnsi" w:hAnsiTheme="majorHAnsi"/>
          <w:sz w:val="32"/>
          <w:szCs w:val="32"/>
        </w:rPr>
      </w:pPr>
    </w:p>
    <w:p w:rsidR="003163D1" w:rsidRPr="0020595F" w:rsidRDefault="003163D1" w:rsidP="003163D1">
      <w:pPr>
        <w:spacing w:after="0" w:line="240" w:lineRule="auto"/>
        <w:jc w:val="center"/>
        <w:rPr>
          <w:rFonts w:asciiTheme="majorHAnsi" w:hAnsiTheme="majorHAnsi"/>
          <w:b/>
          <w:sz w:val="32"/>
          <w:szCs w:val="32"/>
        </w:rPr>
      </w:pPr>
      <w:r>
        <w:rPr>
          <w:rFonts w:asciiTheme="majorHAnsi" w:hAnsiTheme="majorHAnsi"/>
          <w:b/>
          <w:sz w:val="32"/>
          <w:szCs w:val="32"/>
        </w:rPr>
        <w:t xml:space="preserve">Utilities </w:t>
      </w:r>
      <w:r w:rsidR="00C959CB">
        <w:rPr>
          <w:rFonts w:asciiTheme="majorHAnsi" w:hAnsiTheme="majorHAnsi"/>
          <w:b/>
          <w:sz w:val="32"/>
          <w:szCs w:val="32"/>
        </w:rPr>
        <w:t>Demand</w:t>
      </w:r>
      <w:r>
        <w:rPr>
          <w:rFonts w:asciiTheme="majorHAnsi" w:hAnsiTheme="majorHAnsi"/>
          <w:b/>
          <w:sz w:val="32"/>
          <w:szCs w:val="32"/>
        </w:rPr>
        <w:t xml:space="preserve"> Reduction of Ten Percent by FY2020</w:t>
      </w:r>
    </w:p>
    <w:p w:rsidR="003163D1" w:rsidRDefault="003163D1" w:rsidP="006B59A4">
      <w:pPr>
        <w:suppressAutoHyphens/>
        <w:jc w:val="center"/>
        <w:rPr>
          <w:sz w:val="36"/>
          <w:szCs w:val="36"/>
        </w:rPr>
      </w:pPr>
    </w:p>
    <w:p w:rsidR="00E2425F" w:rsidRPr="00F50416" w:rsidRDefault="00E2425F" w:rsidP="006B59A4">
      <w:pPr>
        <w:suppressAutoHyphens/>
        <w:jc w:val="center"/>
        <w:rPr>
          <w:sz w:val="36"/>
          <w:szCs w:val="36"/>
        </w:rPr>
      </w:pPr>
      <w:r w:rsidRPr="003A05F3">
        <w:rPr>
          <w:noProof/>
        </w:rPr>
        <w:drawing>
          <wp:inline distT="0" distB="0" distL="0" distR="0" wp14:anchorId="022EAB8F" wp14:editId="53785182">
            <wp:extent cx="3605530" cy="177673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605530" cy="1776730"/>
                    </a:xfrm>
                    <a:prstGeom prst="rect">
                      <a:avLst/>
                    </a:prstGeom>
                    <a:noFill/>
                    <a:ln w="9525">
                      <a:noFill/>
                      <a:miter lim="800000"/>
                      <a:headEnd/>
                      <a:tailEnd/>
                    </a:ln>
                  </pic:spPr>
                </pic:pic>
              </a:graphicData>
            </a:graphic>
          </wp:inline>
        </w:drawing>
      </w:r>
    </w:p>
    <w:p w:rsidR="00E2425F" w:rsidRPr="00E0048D" w:rsidRDefault="00E2425F" w:rsidP="006B59A4">
      <w:pPr>
        <w:suppressAutoHyphens/>
        <w:jc w:val="center"/>
        <w:rPr>
          <w:rFonts w:asciiTheme="majorHAnsi" w:hAnsiTheme="majorHAnsi"/>
          <w:b/>
          <w:sz w:val="36"/>
          <w:szCs w:val="36"/>
        </w:rPr>
      </w:pPr>
      <w:r>
        <w:rPr>
          <w:rFonts w:asciiTheme="majorHAnsi" w:hAnsiTheme="majorHAnsi"/>
          <w:b/>
          <w:sz w:val="36"/>
          <w:szCs w:val="36"/>
        </w:rPr>
        <w:t>Version 1.0</w:t>
      </w:r>
    </w:p>
    <w:p w:rsidR="00E2425F" w:rsidRPr="00E0048D" w:rsidRDefault="00303A73" w:rsidP="006B59A4">
      <w:pPr>
        <w:suppressAutoHyphens/>
        <w:jc w:val="center"/>
        <w:rPr>
          <w:rFonts w:asciiTheme="majorHAnsi" w:hAnsiTheme="majorHAnsi"/>
          <w:b/>
          <w:bCs/>
        </w:rPr>
      </w:pPr>
      <w:r>
        <w:rPr>
          <w:rFonts w:asciiTheme="majorHAnsi" w:hAnsiTheme="majorHAnsi"/>
          <w:b/>
          <w:bCs/>
        </w:rPr>
        <w:t>1</w:t>
      </w:r>
      <w:r w:rsidR="00700BD3">
        <w:rPr>
          <w:rFonts w:asciiTheme="majorHAnsi" w:hAnsiTheme="majorHAnsi"/>
          <w:b/>
          <w:bCs/>
        </w:rPr>
        <w:t>4</w:t>
      </w:r>
      <w:r w:rsidR="00E2425F">
        <w:rPr>
          <w:rFonts w:asciiTheme="majorHAnsi" w:hAnsiTheme="majorHAnsi"/>
          <w:b/>
          <w:bCs/>
        </w:rPr>
        <w:t xml:space="preserve"> </w:t>
      </w:r>
      <w:r w:rsidR="00700BD3">
        <w:rPr>
          <w:rFonts w:asciiTheme="majorHAnsi" w:hAnsiTheme="majorHAnsi"/>
          <w:b/>
          <w:bCs/>
        </w:rPr>
        <w:t>April</w:t>
      </w:r>
      <w:r w:rsidR="003163D1">
        <w:rPr>
          <w:rFonts w:asciiTheme="majorHAnsi" w:hAnsiTheme="majorHAnsi"/>
          <w:b/>
          <w:bCs/>
        </w:rPr>
        <w:t xml:space="preserve"> 2014</w:t>
      </w:r>
    </w:p>
    <w:p w:rsidR="00E2425F" w:rsidRDefault="00E2425F" w:rsidP="00A57E0C">
      <w:pPr>
        <w:suppressAutoHyphens/>
        <w:jc w:val="both"/>
        <w:rPr>
          <w:rFonts w:asciiTheme="majorHAnsi" w:eastAsiaTheme="majorEastAsia" w:hAnsiTheme="majorHAnsi" w:cstheme="majorBidi"/>
          <w:b/>
          <w:bCs/>
          <w:color w:val="365F91" w:themeColor="accent1" w:themeShade="BF"/>
          <w:sz w:val="28"/>
          <w:szCs w:val="28"/>
          <w:lang w:eastAsia="ja-JP"/>
        </w:rPr>
      </w:pPr>
    </w:p>
    <w:p w:rsidR="00945291" w:rsidRDefault="00945291" w:rsidP="00A57E0C">
      <w:pPr>
        <w:suppressAutoHyphens/>
        <w:jc w:val="both"/>
        <w:rPr>
          <w:rFonts w:asciiTheme="majorHAnsi" w:eastAsiaTheme="majorEastAsia" w:hAnsiTheme="majorHAnsi" w:cstheme="majorBidi"/>
          <w:b/>
          <w:bCs/>
          <w:color w:val="365F91" w:themeColor="accent1" w:themeShade="BF"/>
          <w:sz w:val="28"/>
          <w:szCs w:val="28"/>
          <w:lang w:eastAsia="ja-JP"/>
        </w:rPr>
        <w:sectPr w:rsidR="00945291" w:rsidSect="00651ACB">
          <w:headerReference w:type="even" r:id="rId15"/>
          <w:headerReference w:type="default" r:id="rId16"/>
          <w:footerReference w:type="even" r:id="rId17"/>
          <w:footerReference w:type="default" r:id="rId18"/>
          <w:headerReference w:type="first" r:id="rId19"/>
          <w:footerReference w:type="first" r:id="rId20"/>
          <w:pgSz w:w="12240" w:h="15840"/>
          <w:pgMar w:top="1440" w:right="720" w:bottom="1440" w:left="720" w:header="720" w:footer="720" w:gutter="0"/>
          <w:pgNumType w:start="1"/>
          <w:cols w:space="720"/>
          <w:docGrid w:linePitch="360"/>
        </w:sectPr>
      </w:pPr>
    </w:p>
    <w:p w:rsidR="002129AD" w:rsidRPr="00F641A5" w:rsidRDefault="002129AD" w:rsidP="00A57E0C">
      <w:pPr>
        <w:suppressAutoHyphens/>
        <w:jc w:val="both"/>
        <w:rPr>
          <w:rFonts w:asciiTheme="majorHAnsi" w:eastAsiaTheme="majorEastAsia" w:hAnsiTheme="majorHAnsi" w:cstheme="majorBidi"/>
          <w:b/>
          <w:bCs/>
          <w:color w:val="365F91" w:themeColor="accent1" w:themeShade="BF"/>
          <w:sz w:val="28"/>
          <w:szCs w:val="28"/>
          <w:lang w:eastAsia="ja-JP"/>
        </w:rPr>
      </w:pPr>
      <w:r w:rsidRPr="00F641A5">
        <w:rPr>
          <w:rFonts w:asciiTheme="majorHAnsi" w:eastAsiaTheme="majorEastAsia" w:hAnsiTheme="majorHAnsi" w:cstheme="majorBidi"/>
          <w:b/>
          <w:bCs/>
          <w:color w:val="365F91" w:themeColor="accent1" w:themeShade="BF"/>
          <w:sz w:val="28"/>
          <w:szCs w:val="28"/>
          <w:lang w:eastAsia="ja-JP"/>
        </w:rPr>
        <w:lastRenderedPageBreak/>
        <w:t>Version History</w:t>
      </w:r>
    </w:p>
    <w:tbl>
      <w:tblPr>
        <w:tblW w:w="8685" w:type="dxa"/>
        <w:jc w:val="center"/>
        <w:tblInd w:w="-1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5"/>
        <w:gridCol w:w="1980"/>
        <w:gridCol w:w="4860"/>
      </w:tblGrid>
      <w:tr w:rsidR="002129AD" w:rsidRPr="00F641A5" w:rsidTr="002129AD">
        <w:trPr>
          <w:jc w:val="center"/>
        </w:trPr>
        <w:tc>
          <w:tcPr>
            <w:tcW w:w="1845" w:type="dxa"/>
            <w:shd w:val="clear" w:color="auto" w:fill="1F497D" w:themeFill="text2"/>
          </w:tcPr>
          <w:p w:rsidR="002129AD" w:rsidRPr="00F641A5" w:rsidRDefault="002129AD" w:rsidP="00A57E0C">
            <w:pPr>
              <w:pStyle w:val="TableHeader"/>
              <w:suppressAutoHyphens/>
              <w:spacing w:line="276" w:lineRule="auto"/>
              <w:jc w:val="both"/>
              <w:rPr>
                <w:rFonts w:asciiTheme="minorHAnsi" w:hAnsiTheme="minorHAnsi" w:cstheme="minorHAnsi"/>
                <w:color w:val="FFFFFF" w:themeColor="background1"/>
                <w:sz w:val="22"/>
                <w:szCs w:val="22"/>
              </w:rPr>
            </w:pPr>
            <w:r w:rsidRPr="00F641A5">
              <w:rPr>
                <w:rFonts w:asciiTheme="minorHAnsi" w:hAnsiTheme="minorHAnsi" w:cstheme="minorHAnsi"/>
                <w:color w:val="FFFFFF" w:themeColor="background1"/>
                <w:sz w:val="22"/>
                <w:szCs w:val="22"/>
              </w:rPr>
              <w:t>Version Number</w:t>
            </w:r>
          </w:p>
        </w:tc>
        <w:tc>
          <w:tcPr>
            <w:tcW w:w="1980" w:type="dxa"/>
            <w:shd w:val="clear" w:color="auto" w:fill="1F497D" w:themeFill="text2"/>
          </w:tcPr>
          <w:p w:rsidR="002129AD" w:rsidRPr="00F641A5" w:rsidRDefault="002129AD" w:rsidP="00A57E0C">
            <w:pPr>
              <w:pStyle w:val="TableHeader"/>
              <w:suppressAutoHyphens/>
              <w:spacing w:line="276" w:lineRule="auto"/>
              <w:jc w:val="both"/>
              <w:rPr>
                <w:rFonts w:asciiTheme="minorHAnsi" w:hAnsiTheme="minorHAnsi" w:cstheme="minorHAnsi"/>
                <w:color w:val="FFFFFF" w:themeColor="background1"/>
                <w:sz w:val="22"/>
                <w:szCs w:val="22"/>
              </w:rPr>
            </w:pPr>
            <w:r w:rsidRPr="00F641A5">
              <w:rPr>
                <w:rFonts w:asciiTheme="minorHAnsi" w:hAnsiTheme="minorHAnsi" w:cstheme="minorHAnsi"/>
                <w:color w:val="FFFFFF" w:themeColor="background1"/>
                <w:sz w:val="22"/>
                <w:szCs w:val="22"/>
              </w:rPr>
              <w:t xml:space="preserve">Date </w:t>
            </w:r>
          </w:p>
        </w:tc>
        <w:tc>
          <w:tcPr>
            <w:tcW w:w="4860" w:type="dxa"/>
            <w:shd w:val="clear" w:color="auto" w:fill="1F497D" w:themeFill="text2"/>
          </w:tcPr>
          <w:p w:rsidR="002129AD" w:rsidRPr="00F641A5" w:rsidRDefault="002129AD" w:rsidP="00A57E0C">
            <w:pPr>
              <w:pStyle w:val="TableHeader"/>
              <w:suppressAutoHyphens/>
              <w:spacing w:line="276" w:lineRule="auto"/>
              <w:jc w:val="both"/>
              <w:rPr>
                <w:rFonts w:asciiTheme="minorHAnsi" w:hAnsiTheme="minorHAnsi" w:cstheme="minorHAnsi"/>
                <w:color w:val="FFFFFF" w:themeColor="background1"/>
                <w:sz w:val="22"/>
                <w:szCs w:val="22"/>
              </w:rPr>
            </w:pPr>
            <w:r w:rsidRPr="00F641A5">
              <w:rPr>
                <w:rFonts w:asciiTheme="minorHAnsi" w:hAnsiTheme="minorHAnsi" w:cstheme="minorHAnsi"/>
                <w:color w:val="FFFFFF" w:themeColor="background1"/>
                <w:sz w:val="22"/>
                <w:szCs w:val="22"/>
              </w:rPr>
              <w:t>Description</w:t>
            </w: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r w:rsidRPr="00F641A5">
              <w:rPr>
                <w:rFonts w:asciiTheme="minorHAnsi" w:hAnsiTheme="minorHAnsi" w:cstheme="minorHAnsi"/>
                <w:sz w:val="22"/>
                <w:szCs w:val="22"/>
              </w:rPr>
              <w:t>1.0</w:t>
            </w:r>
          </w:p>
        </w:tc>
        <w:tc>
          <w:tcPr>
            <w:tcW w:w="1980" w:type="dxa"/>
          </w:tcPr>
          <w:p w:rsidR="002129AD" w:rsidRPr="00F641A5" w:rsidRDefault="003163D1" w:rsidP="00303A73">
            <w:pPr>
              <w:pStyle w:val="TableText"/>
              <w:suppressAutoHyphens/>
              <w:spacing w:line="276" w:lineRule="auto"/>
              <w:jc w:val="both"/>
              <w:rPr>
                <w:rFonts w:asciiTheme="minorHAnsi" w:hAnsiTheme="minorHAnsi" w:cstheme="minorHAnsi"/>
                <w:sz w:val="22"/>
                <w:szCs w:val="22"/>
              </w:rPr>
            </w:pPr>
            <w:r>
              <w:rPr>
                <w:rFonts w:asciiTheme="minorHAnsi" w:hAnsiTheme="minorHAnsi" w:cstheme="minorHAnsi"/>
                <w:sz w:val="22"/>
                <w:szCs w:val="22"/>
              </w:rPr>
              <w:t>0</w:t>
            </w:r>
            <w:r w:rsidR="00303A73">
              <w:rPr>
                <w:rFonts w:asciiTheme="minorHAnsi" w:hAnsiTheme="minorHAnsi" w:cstheme="minorHAnsi"/>
                <w:sz w:val="22"/>
                <w:szCs w:val="22"/>
              </w:rPr>
              <w:t>4</w:t>
            </w:r>
            <w:r w:rsidR="002129AD" w:rsidRPr="00FF42D5">
              <w:rPr>
                <w:rFonts w:asciiTheme="minorHAnsi" w:hAnsiTheme="minorHAnsi" w:cstheme="minorHAnsi"/>
                <w:sz w:val="22"/>
                <w:szCs w:val="22"/>
              </w:rPr>
              <w:t>/</w:t>
            </w:r>
            <w:r w:rsidR="00303A73">
              <w:rPr>
                <w:rFonts w:asciiTheme="minorHAnsi" w:hAnsiTheme="minorHAnsi" w:cstheme="minorHAnsi"/>
                <w:sz w:val="22"/>
                <w:szCs w:val="22"/>
              </w:rPr>
              <w:t>14</w:t>
            </w:r>
            <w:r w:rsidR="00FF42D5" w:rsidRPr="00FF42D5">
              <w:rPr>
                <w:rFonts w:asciiTheme="minorHAnsi" w:hAnsiTheme="minorHAnsi" w:cstheme="minorHAnsi"/>
                <w:sz w:val="22"/>
                <w:szCs w:val="22"/>
              </w:rPr>
              <w:t>/</w:t>
            </w:r>
            <w:r>
              <w:rPr>
                <w:rFonts w:asciiTheme="minorHAnsi" w:hAnsiTheme="minorHAnsi" w:cstheme="minorHAnsi"/>
                <w:sz w:val="22"/>
                <w:szCs w:val="22"/>
              </w:rPr>
              <w:t>2014</w:t>
            </w: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r w:rsidRPr="00F641A5">
              <w:rPr>
                <w:rFonts w:asciiTheme="minorHAnsi" w:hAnsiTheme="minorHAnsi" w:cstheme="minorHAnsi"/>
                <w:sz w:val="22"/>
                <w:szCs w:val="22"/>
              </w:rPr>
              <w:t>Baseline for release</w:t>
            </w: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r w:rsidR="002129AD" w:rsidRPr="00F641A5" w:rsidTr="002129AD">
        <w:trPr>
          <w:jc w:val="center"/>
        </w:trPr>
        <w:tc>
          <w:tcPr>
            <w:tcW w:w="1845"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198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c>
          <w:tcPr>
            <w:tcW w:w="4860" w:type="dxa"/>
          </w:tcPr>
          <w:p w:rsidR="002129AD" w:rsidRPr="00F641A5" w:rsidRDefault="002129AD" w:rsidP="00A57E0C">
            <w:pPr>
              <w:pStyle w:val="TableText"/>
              <w:suppressAutoHyphens/>
              <w:spacing w:line="276" w:lineRule="auto"/>
              <w:jc w:val="both"/>
              <w:rPr>
                <w:rFonts w:asciiTheme="minorHAnsi" w:hAnsiTheme="minorHAnsi" w:cstheme="minorHAnsi"/>
                <w:sz w:val="22"/>
                <w:szCs w:val="22"/>
              </w:rPr>
            </w:pPr>
          </w:p>
        </w:tc>
      </w:tr>
    </w:tbl>
    <w:p w:rsidR="002129AD" w:rsidRDefault="002129AD" w:rsidP="00A57E0C">
      <w:pPr>
        <w:tabs>
          <w:tab w:val="left" w:pos="7650"/>
        </w:tabs>
        <w:suppressAutoHyphens/>
        <w:jc w:val="both"/>
        <w:rPr>
          <w:b/>
          <w:sz w:val="32"/>
          <w:szCs w:val="32"/>
        </w:rPr>
      </w:pPr>
    </w:p>
    <w:p w:rsidR="002129AD" w:rsidRDefault="002129AD" w:rsidP="00A57E0C">
      <w:pPr>
        <w:tabs>
          <w:tab w:val="left" w:pos="7650"/>
        </w:tabs>
        <w:suppressAutoHyphens/>
        <w:jc w:val="both"/>
        <w:rPr>
          <w:b/>
          <w:sz w:val="32"/>
          <w:szCs w:val="32"/>
        </w:rPr>
      </w:pPr>
      <w:r>
        <w:rPr>
          <w:b/>
          <w:sz w:val="32"/>
          <w:szCs w:val="32"/>
        </w:rPr>
        <w:br w:type="page"/>
      </w:r>
      <w:r w:rsidR="003163D1">
        <w:rPr>
          <w:b/>
          <w:sz w:val="32"/>
          <w:szCs w:val="32"/>
        </w:rPr>
        <w:lastRenderedPageBreak/>
        <w:t xml:space="preserve"> </w:t>
      </w:r>
    </w:p>
    <w:sdt>
      <w:sdtPr>
        <w:rPr>
          <w:rFonts w:asciiTheme="minorHAnsi" w:eastAsiaTheme="minorHAnsi" w:hAnsiTheme="minorHAnsi" w:cstheme="minorBidi"/>
          <w:b w:val="0"/>
          <w:bCs w:val="0"/>
          <w:color w:val="auto"/>
          <w:sz w:val="22"/>
          <w:szCs w:val="22"/>
          <w:lang w:eastAsia="en-US"/>
        </w:rPr>
        <w:id w:val="1132133367"/>
        <w:docPartObj>
          <w:docPartGallery w:val="Table of Contents"/>
          <w:docPartUnique/>
        </w:docPartObj>
      </w:sdtPr>
      <w:sdtEndPr>
        <w:rPr>
          <w:noProof/>
        </w:rPr>
      </w:sdtEndPr>
      <w:sdtContent>
        <w:p w:rsidR="005A465C" w:rsidRDefault="00250D9C" w:rsidP="00A57E0C">
          <w:pPr>
            <w:pStyle w:val="TOCHeading"/>
            <w:numPr>
              <w:ilvl w:val="0"/>
              <w:numId w:val="0"/>
            </w:numPr>
            <w:suppressAutoHyphens/>
            <w:ind w:left="432"/>
            <w:jc w:val="both"/>
          </w:pPr>
          <w:r w:rsidRPr="006B64A6">
            <w:t>Table of</w:t>
          </w:r>
          <w:r>
            <w:rPr>
              <w:rFonts w:asciiTheme="minorHAnsi" w:eastAsiaTheme="minorHAnsi" w:hAnsiTheme="minorHAnsi" w:cstheme="minorBidi"/>
              <w:b w:val="0"/>
              <w:bCs w:val="0"/>
              <w:color w:val="auto"/>
              <w:sz w:val="22"/>
              <w:szCs w:val="22"/>
              <w:lang w:eastAsia="en-US"/>
            </w:rPr>
            <w:t xml:space="preserve"> </w:t>
          </w:r>
          <w:r w:rsidR="005A465C">
            <w:t>Contents</w:t>
          </w:r>
        </w:p>
        <w:p w:rsidR="00005167" w:rsidRDefault="00CD0169">
          <w:pPr>
            <w:pStyle w:val="TOC1"/>
            <w:tabs>
              <w:tab w:val="left" w:pos="440"/>
              <w:tab w:val="right" w:leader="dot" w:pos="10790"/>
            </w:tabs>
            <w:rPr>
              <w:rFonts w:eastAsiaTheme="minorEastAsia"/>
              <w:noProof/>
            </w:rPr>
          </w:pPr>
          <w:r>
            <w:fldChar w:fldCharType="begin"/>
          </w:r>
          <w:r w:rsidR="005A465C">
            <w:instrText xml:space="preserve"> TOC \o "1-3" \h \z \u </w:instrText>
          </w:r>
          <w:r>
            <w:fldChar w:fldCharType="separate"/>
          </w:r>
          <w:hyperlink w:anchor="_Toc385228992" w:history="1">
            <w:r w:rsidR="00005167" w:rsidRPr="00D233B7">
              <w:rPr>
                <w:rStyle w:val="Hyperlink"/>
                <w:noProof/>
              </w:rPr>
              <w:t>1</w:t>
            </w:r>
            <w:r w:rsidR="00005167">
              <w:rPr>
                <w:rFonts w:eastAsiaTheme="minorEastAsia"/>
                <w:noProof/>
              </w:rPr>
              <w:tab/>
            </w:r>
            <w:r w:rsidR="00005167" w:rsidRPr="00D233B7">
              <w:rPr>
                <w:rStyle w:val="Hyperlink"/>
                <w:noProof/>
              </w:rPr>
              <w:t>Purpose and Background</w:t>
            </w:r>
            <w:r w:rsidR="00005167">
              <w:rPr>
                <w:noProof/>
                <w:webHidden/>
              </w:rPr>
              <w:tab/>
            </w:r>
            <w:r w:rsidR="00005167">
              <w:rPr>
                <w:noProof/>
                <w:webHidden/>
              </w:rPr>
              <w:fldChar w:fldCharType="begin"/>
            </w:r>
            <w:r w:rsidR="00005167">
              <w:rPr>
                <w:noProof/>
                <w:webHidden/>
              </w:rPr>
              <w:instrText xml:space="preserve"> PAGEREF _Toc385228992 \h </w:instrText>
            </w:r>
            <w:r w:rsidR="00005167">
              <w:rPr>
                <w:noProof/>
                <w:webHidden/>
              </w:rPr>
            </w:r>
            <w:r w:rsidR="00005167">
              <w:rPr>
                <w:noProof/>
                <w:webHidden/>
              </w:rPr>
              <w:fldChar w:fldCharType="separate"/>
            </w:r>
            <w:r w:rsidR="003D618F">
              <w:rPr>
                <w:noProof/>
                <w:webHidden/>
              </w:rPr>
              <w:t>3</w:t>
            </w:r>
            <w:r w:rsidR="00005167">
              <w:rPr>
                <w:noProof/>
                <w:webHidden/>
              </w:rPr>
              <w:fldChar w:fldCharType="end"/>
            </w:r>
          </w:hyperlink>
        </w:p>
        <w:p w:rsidR="00005167" w:rsidRDefault="00C959CB">
          <w:pPr>
            <w:pStyle w:val="TOC1"/>
            <w:tabs>
              <w:tab w:val="left" w:pos="440"/>
              <w:tab w:val="right" w:leader="dot" w:pos="10790"/>
            </w:tabs>
            <w:rPr>
              <w:rFonts w:eastAsiaTheme="minorEastAsia"/>
              <w:noProof/>
            </w:rPr>
          </w:pPr>
          <w:hyperlink w:anchor="_Toc385228993" w:history="1">
            <w:r w:rsidR="00005167" w:rsidRPr="00D233B7">
              <w:rPr>
                <w:rStyle w:val="Hyperlink"/>
                <w:noProof/>
              </w:rPr>
              <w:t>2</w:t>
            </w:r>
            <w:r w:rsidR="00005167">
              <w:rPr>
                <w:rFonts w:eastAsiaTheme="minorEastAsia"/>
                <w:noProof/>
              </w:rPr>
              <w:tab/>
            </w:r>
            <w:r w:rsidR="00005167" w:rsidRPr="00D233B7">
              <w:rPr>
                <w:rStyle w:val="Hyperlink"/>
                <w:noProof/>
              </w:rPr>
              <w:t>Roles and Responsibilities</w:t>
            </w:r>
            <w:r w:rsidR="00005167">
              <w:rPr>
                <w:noProof/>
                <w:webHidden/>
              </w:rPr>
              <w:tab/>
            </w:r>
            <w:r w:rsidR="00005167">
              <w:rPr>
                <w:noProof/>
                <w:webHidden/>
              </w:rPr>
              <w:fldChar w:fldCharType="begin"/>
            </w:r>
            <w:r w:rsidR="00005167">
              <w:rPr>
                <w:noProof/>
                <w:webHidden/>
              </w:rPr>
              <w:instrText xml:space="preserve"> PAGEREF _Toc385228993 \h </w:instrText>
            </w:r>
            <w:r w:rsidR="00005167">
              <w:rPr>
                <w:noProof/>
                <w:webHidden/>
              </w:rPr>
            </w:r>
            <w:r w:rsidR="00005167">
              <w:rPr>
                <w:noProof/>
                <w:webHidden/>
              </w:rPr>
              <w:fldChar w:fldCharType="separate"/>
            </w:r>
            <w:r w:rsidR="003D618F">
              <w:rPr>
                <w:noProof/>
                <w:webHidden/>
              </w:rPr>
              <w:t>3</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8994" w:history="1">
            <w:r w:rsidR="00005167" w:rsidRPr="00D233B7">
              <w:rPr>
                <w:rStyle w:val="Hyperlink"/>
                <w:noProof/>
              </w:rPr>
              <w:t>2.1</w:t>
            </w:r>
            <w:r w:rsidR="00005167">
              <w:rPr>
                <w:rFonts w:eastAsiaTheme="minorEastAsia"/>
                <w:noProof/>
              </w:rPr>
              <w:tab/>
            </w:r>
            <w:r w:rsidR="00005167" w:rsidRPr="00D233B7">
              <w:rPr>
                <w:rStyle w:val="Hyperlink"/>
                <w:noProof/>
              </w:rPr>
              <w:t>Headquarters U.S.  Marine Corps (HQMC)</w:t>
            </w:r>
            <w:r w:rsidR="00005167">
              <w:rPr>
                <w:noProof/>
                <w:webHidden/>
              </w:rPr>
              <w:tab/>
            </w:r>
            <w:r w:rsidR="00005167">
              <w:rPr>
                <w:noProof/>
                <w:webHidden/>
              </w:rPr>
              <w:fldChar w:fldCharType="begin"/>
            </w:r>
            <w:r w:rsidR="00005167">
              <w:rPr>
                <w:noProof/>
                <w:webHidden/>
              </w:rPr>
              <w:instrText xml:space="preserve"> PAGEREF _Toc385228994 \h </w:instrText>
            </w:r>
            <w:r w:rsidR="00005167">
              <w:rPr>
                <w:noProof/>
                <w:webHidden/>
              </w:rPr>
            </w:r>
            <w:r w:rsidR="00005167">
              <w:rPr>
                <w:noProof/>
                <w:webHidden/>
              </w:rPr>
              <w:fldChar w:fldCharType="separate"/>
            </w:r>
            <w:r w:rsidR="003D618F">
              <w:rPr>
                <w:noProof/>
                <w:webHidden/>
              </w:rPr>
              <w:t>3</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8995" w:history="1">
            <w:r w:rsidR="00005167" w:rsidRPr="00D233B7">
              <w:rPr>
                <w:rStyle w:val="Hyperlink"/>
                <w:noProof/>
              </w:rPr>
              <w:t>2.2</w:t>
            </w:r>
            <w:r w:rsidR="00005167">
              <w:rPr>
                <w:rFonts w:eastAsiaTheme="minorEastAsia"/>
                <w:noProof/>
              </w:rPr>
              <w:tab/>
            </w:r>
            <w:r w:rsidR="00005167" w:rsidRPr="00D233B7">
              <w:rPr>
                <w:rStyle w:val="Hyperlink"/>
                <w:noProof/>
              </w:rPr>
              <w:t>Regional Commands</w:t>
            </w:r>
            <w:r w:rsidR="00005167">
              <w:rPr>
                <w:noProof/>
                <w:webHidden/>
              </w:rPr>
              <w:tab/>
            </w:r>
            <w:r w:rsidR="00005167">
              <w:rPr>
                <w:noProof/>
                <w:webHidden/>
              </w:rPr>
              <w:fldChar w:fldCharType="begin"/>
            </w:r>
            <w:r w:rsidR="00005167">
              <w:rPr>
                <w:noProof/>
                <w:webHidden/>
              </w:rPr>
              <w:instrText xml:space="preserve"> PAGEREF _Toc385228995 \h </w:instrText>
            </w:r>
            <w:r w:rsidR="00005167">
              <w:rPr>
                <w:noProof/>
                <w:webHidden/>
              </w:rPr>
            </w:r>
            <w:r w:rsidR="00005167">
              <w:rPr>
                <w:noProof/>
                <w:webHidden/>
              </w:rPr>
              <w:fldChar w:fldCharType="separate"/>
            </w:r>
            <w:r w:rsidR="003D618F">
              <w:rPr>
                <w:noProof/>
                <w:webHidden/>
              </w:rPr>
              <w:t>4</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8996" w:history="1">
            <w:r w:rsidR="00005167" w:rsidRPr="00D233B7">
              <w:rPr>
                <w:rStyle w:val="Hyperlink"/>
                <w:noProof/>
              </w:rPr>
              <w:t>2.3</w:t>
            </w:r>
            <w:r w:rsidR="00005167">
              <w:rPr>
                <w:rFonts w:eastAsiaTheme="minorEastAsia"/>
                <w:noProof/>
              </w:rPr>
              <w:tab/>
            </w:r>
            <w:r w:rsidR="00005167" w:rsidRPr="00D233B7">
              <w:rPr>
                <w:rStyle w:val="Hyperlink"/>
                <w:noProof/>
              </w:rPr>
              <w:t>Training and Education Command (TECOM)</w:t>
            </w:r>
            <w:r w:rsidR="00005167">
              <w:rPr>
                <w:noProof/>
                <w:webHidden/>
              </w:rPr>
              <w:tab/>
            </w:r>
            <w:r w:rsidR="00005167">
              <w:rPr>
                <w:noProof/>
                <w:webHidden/>
              </w:rPr>
              <w:fldChar w:fldCharType="begin"/>
            </w:r>
            <w:r w:rsidR="00005167">
              <w:rPr>
                <w:noProof/>
                <w:webHidden/>
              </w:rPr>
              <w:instrText xml:space="preserve"> PAGEREF _Toc385228996 \h </w:instrText>
            </w:r>
            <w:r w:rsidR="00005167">
              <w:rPr>
                <w:noProof/>
                <w:webHidden/>
              </w:rPr>
            </w:r>
            <w:r w:rsidR="00005167">
              <w:rPr>
                <w:noProof/>
                <w:webHidden/>
              </w:rPr>
              <w:fldChar w:fldCharType="separate"/>
            </w:r>
            <w:r w:rsidR="003D618F">
              <w:rPr>
                <w:noProof/>
                <w:webHidden/>
              </w:rPr>
              <w:t>4</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8997" w:history="1">
            <w:r w:rsidR="00005167" w:rsidRPr="00D233B7">
              <w:rPr>
                <w:rStyle w:val="Hyperlink"/>
                <w:noProof/>
              </w:rPr>
              <w:t>2.4</w:t>
            </w:r>
            <w:r w:rsidR="00005167">
              <w:rPr>
                <w:rFonts w:eastAsiaTheme="minorEastAsia"/>
                <w:noProof/>
              </w:rPr>
              <w:tab/>
            </w:r>
            <w:r w:rsidR="00005167" w:rsidRPr="00D233B7">
              <w:rPr>
                <w:rStyle w:val="Hyperlink"/>
                <w:noProof/>
              </w:rPr>
              <w:t>Installation Commanders</w:t>
            </w:r>
            <w:r w:rsidR="00005167">
              <w:rPr>
                <w:noProof/>
                <w:webHidden/>
              </w:rPr>
              <w:tab/>
            </w:r>
            <w:r w:rsidR="00005167">
              <w:rPr>
                <w:noProof/>
                <w:webHidden/>
              </w:rPr>
              <w:fldChar w:fldCharType="begin"/>
            </w:r>
            <w:r w:rsidR="00005167">
              <w:rPr>
                <w:noProof/>
                <w:webHidden/>
              </w:rPr>
              <w:instrText xml:space="preserve"> PAGEREF _Toc385228997 \h </w:instrText>
            </w:r>
            <w:r w:rsidR="00005167">
              <w:rPr>
                <w:noProof/>
                <w:webHidden/>
              </w:rPr>
            </w:r>
            <w:r w:rsidR="00005167">
              <w:rPr>
                <w:noProof/>
                <w:webHidden/>
              </w:rPr>
              <w:fldChar w:fldCharType="separate"/>
            </w:r>
            <w:r w:rsidR="003D618F">
              <w:rPr>
                <w:noProof/>
                <w:webHidden/>
              </w:rPr>
              <w:t>4</w:t>
            </w:r>
            <w:r w:rsidR="00005167">
              <w:rPr>
                <w:noProof/>
                <w:webHidden/>
              </w:rPr>
              <w:fldChar w:fldCharType="end"/>
            </w:r>
          </w:hyperlink>
        </w:p>
        <w:p w:rsidR="00005167" w:rsidRDefault="00C959CB">
          <w:pPr>
            <w:pStyle w:val="TOC1"/>
            <w:tabs>
              <w:tab w:val="left" w:pos="440"/>
              <w:tab w:val="right" w:leader="dot" w:pos="10790"/>
            </w:tabs>
            <w:rPr>
              <w:rFonts w:eastAsiaTheme="minorEastAsia"/>
              <w:noProof/>
            </w:rPr>
          </w:pPr>
          <w:hyperlink w:anchor="_Toc385228998" w:history="1">
            <w:r w:rsidR="00005167" w:rsidRPr="00D233B7">
              <w:rPr>
                <w:rStyle w:val="Hyperlink"/>
                <w:noProof/>
              </w:rPr>
              <w:t>3.</w:t>
            </w:r>
            <w:r w:rsidR="00005167">
              <w:rPr>
                <w:rFonts w:eastAsiaTheme="minorEastAsia"/>
                <w:noProof/>
              </w:rPr>
              <w:tab/>
            </w:r>
            <w:r w:rsidR="00005167" w:rsidRPr="00D233B7">
              <w:rPr>
                <w:rStyle w:val="Hyperlink"/>
                <w:noProof/>
              </w:rPr>
              <w:t>Description of Utilities Execution Reduction Actions</w:t>
            </w:r>
            <w:r w:rsidR="00005167">
              <w:rPr>
                <w:noProof/>
                <w:webHidden/>
              </w:rPr>
              <w:tab/>
            </w:r>
            <w:r w:rsidR="00005167">
              <w:rPr>
                <w:noProof/>
                <w:webHidden/>
              </w:rPr>
              <w:fldChar w:fldCharType="begin"/>
            </w:r>
            <w:r w:rsidR="00005167">
              <w:rPr>
                <w:noProof/>
                <w:webHidden/>
              </w:rPr>
              <w:instrText xml:space="preserve"> PAGEREF _Toc385228998 \h </w:instrText>
            </w:r>
            <w:r w:rsidR="00005167">
              <w:rPr>
                <w:noProof/>
                <w:webHidden/>
              </w:rPr>
            </w:r>
            <w:r w:rsidR="00005167">
              <w:rPr>
                <w:noProof/>
                <w:webHidden/>
              </w:rPr>
              <w:fldChar w:fldCharType="separate"/>
            </w:r>
            <w:r w:rsidR="003D618F">
              <w:rPr>
                <w:noProof/>
                <w:webHidden/>
              </w:rPr>
              <w:t>4</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8999" w:history="1">
            <w:r w:rsidR="00005167" w:rsidRPr="00D233B7">
              <w:rPr>
                <w:rStyle w:val="Hyperlink"/>
                <w:noProof/>
              </w:rPr>
              <w:t>3.1.</w:t>
            </w:r>
            <w:r w:rsidR="00005167">
              <w:rPr>
                <w:rFonts w:eastAsiaTheme="minorEastAsia"/>
                <w:noProof/>
              </w:rPr>
              <w:tab/>
            </w:r>
            <w:r w:rsidR="00005167" w:rsidRPr="00D233B7">
              <w:rPr>
                <w:rStyle w:val="Hyperlink"/>
                <w:noProof/>
              </w:rPr>
              <w:t>Ethos</w:t>
            </w:r>
            <w:r w:rsidR="00005167">
              <w:rPr>
                <w:noProof/>
                <w:webHidden/>
              </w:rPr>
              <w:tab/>
            </w:r>
            <w:r w:rsidR="00005167">
              <w:rPr>
                <w:noProof/>
                <w:webHidden/>
              </w:rPr>
              <w:fldChar w:fldCharType="begin"/>
            </w:r>
            <w:r w:rsidR="00005167">
              <w:rPr>
                <w:noProof/>
                <w:webHidden/>
              </w:rPr>
              <w:instrText xml:space="preserve"> PAGEREF _Toc385228999 \h </w:instrText>
            </w:r>
            <w:r w:rsidR="00005167">
              <w:rPr>
                <w:noProof/>
                <w:webHidden/>
              </w:rPr>
            </w:r>
            <w:r w:rsidR="00005167">
              <w:rPr>
                <w:noProof/>
                <w:webHidden/>
              </w:rPr>
              <w:fldChar w:fldCharType="separate"/>
            </w:r>
            <w:r w:rsidR="003D618F">
              <w:rPr>
                <w:noProof/>
                <w:webHidden/>
              </w:rPr>
              <w:t>4</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0" w:history="1">
            <w:r w:rsidR="00005167" w:rsidRPr="00D233B7">
              <w:rPr>
                <w:rStyle w:val="Hyperlink"/>
                <w:noProof/>
              </w:rPr>
              <w:t>3.2.</w:t>
            </w:r>
            <w:r w:rsidR="00005167">
              <w:rPr>
                <w:rFonts w:eastAsiaTheme="minorEastAsia"/>
                <w:noProof/>
              </w:rPr>
              <w:tab/>
            </w:r>
            <w:r w:rsidR="00005167" w:rsidRPr="00D233B7">
              <w:rPr>
                <w:rStyle w:val="Hyperlink"/>
                <w:noProof/>
              </w:rPr>
              <w:t>Utilities Contract Renegotiations</w:t>
            </w:r>
            <w:r w:rsidR="00005167">
              <w:rPr>
                <w:noProof/>
                <w:webHidden/>
              </w:rPr>
              <w:tab/>
            </w:r>
            <w:r w:rsidR="00005167">
              <w:rPr>
                <w:noProof/>
                <w:webHidden/>
              </w:rPr>
              <w:fldChar w:fldCharType="begin"/>
            </w:r>
            <w:r w:rsidR="00005167">
              <w:rPr>
                <w:noProof/>
                <w:webHidden/>
              </w:rPr>
              <w:instrText xml:space="preserve"> PAGEREF _Toc385229000 \h </w:instrText>
            </w:r>
            <w:r w:rsidR="00005167">
              <w:rPr>
                <w:noProof/>
                <w:webHidden/>
              </w:rPr>
            </w:r>
            <w:r w:rsidR="00005167">
              <w:rPr>
                <w:noProof/>
                <w:webHidden/>
              </w:rPr>
              <w:fldChar w:fldCharType="separate"/>
            </w:r>
            <w:r w:rsidR="003D618F">
              <w:rPr>
                <w:noProof/>
                <w:webHidden/>
              </w:rPr>
              <w:t>5</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1" w:history="1">
            <w:r w:rsidR="00005167" w:rsidRPr="00D233B7">
              <w:rPr>
                <w:rStyle w:val="Hyperlink"/>
                <w:noProof/>
              </w:rPr>
              <w:t>3.3.</w:t>
            </w:r>
            <w:r w:rsidR="00005167">
              <w:rPr>
                <w:rFonts w:eastAsiaTheme="minorEastAsia"/>
                <w:noProof/>
              </w:rPr>
              <w:tab/>
            </w:r>
            <w:r w:rsidR="00005167" w:rsidRPr="00D233B7">
              <w:rPr>
                <w:rStyle w:val="Hyperlink"/>
                <w:noProof/>
              </w:rPr>
              <w:t>Industrial Control Systems</w:t>
            </w:r>
            <w:r w:rsidR="00005167">
              <w:rPr>
                <w:noProof/>
                <w:webHidden/>
              </w:rPr>
              <w:tab/>
            </w:r>
            <w:r w:rsidR="00005167">
              <w:rPr>
                <w:noProof/>
                <w:webHidden/>
              </w:rPr>
              <w:fldChar w:fldCharType="begin"/>
            </w:r>
            <w:r w:rsidR="00005167">
              <w:rPr>
                <w:noProof/>
                <w:webHidden/>
              </w:rPr>
              <w:instrText xml:space="preserve"> PAGEREF _Toc385229001 \h </w:instrText>
            </w:r>
            <w:r w:rsidR="00005167">
              <w:rPr>
                <w:noProof/>
                <w:webHidden/>
              </w:rPr>
            </w:r>
            <w:r w:rsidR="00005167">
              <w:rPr>
                <w:noProof/>
                <w:webHidden/>
              </w:rPr>
              <w:fldChar w:fldCharType="separate"/>
            </w:r>
            <w:r w:rsidR="003D618F">
              <w:rPr>
                <w:noProof/>
                <w:webHidden/>
              </w:rPr>
              <w:t>5</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2" w:history="1">
            <w:r w:rsidR="00005167" w:rsidRPr="00D233B7">
              <w:rPr>
                <w:rStyle w:val="Hyperlink"/>
                <w:noProof/>
              </w:rPr>
              <w:t>3.4.</w:t>
            </w:r>
            <w:r w:rsidR="00005167">
              <w:rPr>
                <w:rFonts w:eastAsiaTheme="minorEastAsia"/>
                <w:noProof/>
              </w:rPr>
              <w:tab/>
            </w:r>
            <w:r w:rsidR="00005167" w:rsidRPr="00D233B7">
              <w:rPr>
                <w:rStyle w:val="Hyperlink"/>
                <w:noProof/>
              </w:rPr>
              <w:t>Consolidation of Excess facilities</w:t>
            </w:r>
            <w:r w:rsidR="00005167">
              <w:rPr>
                <w:noProof/>
                <w:webHidden/>
              </w:rPr>
              <w:tab/>
            </w:r>
            <w:r w:rsidR="00005167">
              <w:rPr>
                <w:noProof/>
                <w:webHidden/>
              </w:rPr>
              <w:fldChar w:fldCharType="begin"/>
            </w:r>
            <w:r w:rsidR="00005167">
              <w:rPr>
                <w:noProof/>
                <w:webHidden/>
              </w:rPr>
              <w:instrText xml:space="preserve"> PAGEREF _Toc385229002 \h </w:instrText>
            </w:r>
            <w:r w:rsidR="00005167">
              <w:rPr>
                <w:noProof/>
                <w:webHidden/>
              </w:rPr>
            </w:r>
            <w:r w:rsidR="00005167">
              <w:rPr>
                <w:noProof/>
                <w:webHidden/>
              </w:rPr>
              <w:fldChar w:fldCharType="separate"/>
            </w:r>
            <w:r w:rsidR="003D618F">
              <w:rPr>
                <w:noProof/>
                <w:webHidden/>
              </w:rPr>
              <w:t>7</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3" w:history="1">
            <w:r w:rsidR="00005167" w:rsidRPr="00D233B7">
              <w:rPr>
                <w:rStyle w:val="Hyperlink"/>
                <w:noProof/>
              </w:rPr>
              <w:t>3.5.</w:t>
            </w:r>
            <w:r w:rsidR="00005167">
              <w:rPr>
                <w:rFonts w:eastAsiaTheme="minorEastAsia"/>
                <w:noProof/>
              </w:rPr>
              <w:tab/>
            </w:r>
            <w:r w:rsidR="00005167" w:rsidRPr="00D233B7">
              <w:rPr>
                <w:rStyle w:val="Hyperlink"/>
                <w:noProof/>
              </w:rPr>
              <w:t>Facilities operation and maintenance</w:t>
            </w:r>
            <w:r w:rsidR="00005167">
              <w:rPr>
                <w:noProof/>
                <w:webHidden/>
              </w:rPr>
              <w:tab/>
            </w:r>
            <w:r w:rsidR="00005167">
              <w:rPr>
                <w:noProof/>
                <w:webHidden/>
              </w:rPr>
              <w:fldChar w:fldCharType="begin"/>
            </w:r>
            <w:r w:rsidR="00005167">
              <w:rPr>
                <w:noProof/>
                <w:webHidden/>
              </w:rPr>
              <w:instrText xml:space="preserve"> PAGEREF _Toc385229003 \h </w:instrText>
            </w:r>
            <w:r w:rsidR="00005167">
              <w:rPr>
                <w:noProof/>
                <w:webHidden/>
              </w:rPr>
            </w:r>
            <w:r w:rsidR="00005167">
              <w:rPr>
                <w:noProof/>
                <w:webHidden/>
              </w:rPr>
              <w:fldChar w:fldCharType="separate"/>
            </w:r>
            <w:r w:rsidR="003D618F">
              <w:rPr>
                <w:noProof/>
                <w:webHidden/>
              </w:rPr>
              <w:t>7</w:t>
            </w:r>
            <w:r w:rsidR="00005167">
              <w:rPr>
                <w:noProof/>
                <w:webHidden/>
              </w:rPr>
              <w:fldChar w:fldCharType="end"/>
            </w:r>
          </w:hyperlink>
        </w:p>
        <w:p w:rsidR="00005167" w:rsidRDefault="00C959CB">
          <w:pPr>
            <w:pStyle w:val="TOC1"/>
            <w:tabs>
              <w:tab w:val="left" w:pos="440"/>
              <w:tab w:val="right" w:leader="dot" w:pos="10790"/>
            </w:tabs>
            <w:rPr>
              <w:rFonts w:eastAsiaTheme="minorEastAsia"/>
              <w:noProof/>
            </w:rPr>
          </w:pPr>
          <w:hyperlink w:anchor="_Toc385229004" w:history="1">
            <w:r w:rsidR="00005167" w:rsidRPr="00D233B7">
              <w:rPr>
                <w:rStyle w:val="Hyperlink"/>
                <w:noProof/>
              </w:rPr>
              <w:t>4.</w:t>
            </w:r>
            <w:r w:rsidR="00005167">
              <w:rPr>
                <w:rFonts w:eastAsiaTheme="minorEastAsia"/>
                <w:noProof/>
              </w:rPr>
              <w:tab/>
            </w:r>
            <w:r w:rsidR="00005167" w:rsidRPr="00D233B7">
              <w:rPr>
                <w:rStyle w:val="Hyperlink"/>
                <w:noProof/>
              </w:rPr>
              <w:t>Utilities Execution Reduction Concept of Operations</w:t>
            </w:r>
            <w:r w:rsidR="00005167">
              <w:rPr>
                <w:noProof/>
                <w:webHidden/>
              </w:rPr>
              <w:tab/>
            </w:r>
            <w:r w:rsidR="00005167">
              <w:rPr>
                <w:noProof/>
                <w:webHidden/>
              </w:rPr>
              <w:fldChar w:fldCharType="begin"/>
            </w:r>
            <w:r w:rsidR="00005167">
              <w:rPr>
                <w:noProof/>
                <w:webHidden/>
              </w:rPr>
              <w:instrText xml:space="preserve"> PAGEREF _Toc385229004 \h </w:instrText>
            </w:r>
            <w:r w:rsidR="00005167">
              <w:rPr>
                <w:noProof/>
                <w:webHidden/>
              </w:rPr>
            </w:r>
            <w:r w:rsidR="00005167">
              <w:rPr>
                <w:noProof/>
                <w:webHidden/>
              </w:rPr>
              <w:fldChar w:fldCharType="separate"/>
            </w:r>
            <w:r w:rsidR="003D618F">
              <w:rPr>
                <w:noProof/>
                <w:webHidden/>
              </w:rPr>
              <w:t>7</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5" w:history="1">
            <w:r w:rsidR="00005167" w:rsidRPr="00D233B7">
              <w:rPr>
                <w:rStyle w:val="Hyperlink"/>
                <w:noProof/>
              </w:rPr>
              <w:t>4.1.</w:t>
            </w:r>
            <w:r w:rsidR="00005167">
              <w:rPr>
                <w:rFonts w:eastAsiaTheme="minorEastAsia"/>
                <w:noProof/>
              </w:rPr>
              <w:tab/>
            </w:r>
            <w:r w:rsidR="00005167" w:rsidRPr="00D233B7">
              <w:rPr>
                <w:rStyle w:val="Hyperlink"/>
                <w:noProof/>
              </w:rPr>
              <w:t>Established Baseline for reduction</w:t>
            </w:r>
            <w:r w:rsidR="00005167">
              <w:rPr>
                <w:noProof/>
                <w:webHidden/>
              </w:rPr>
              <w:tab/>
            </w:r>
            <w:r w:rsidR="00005167">
              <w:rPr>
                <w:noProof/>
                <w:webHidden/>
              </w:rPr>
              <w:fldChar w:fldCharType="begin"/>
            </w:r>
            <w:r w:rsidR="00005167">
              <w:rPr>
                <w:noProof/>
                <w:webHidden/>
              </w:rPr>
              <w:instrText xml:space="preserve"> PAGEREF _Toc385229005 \h </w:instrText>
            </w:r>
            <w:r w:rsidR="00005167">
              <w:rPr>
                <w:noProof/>
                <w:webHidden/>
              </w:rPr>
            </w:r>
            <w:r w:rsidR="00005167">
              <w:rPr>
                <w:noProof/>
                <w:webHidden/>
              </w:rPr>
              <w:fldChar w:fldCharType="separate"/>
            </w:r>
            <w:r w:rsidR="003D618F">
              <w:rPr>
                <w:noProof/>
                <w:webHidden/>
              </w:rPr>
              <w:t>7</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6" w:history="1">
            <w:r w:rsidR="00005167" w:rsidRPr="00D233B7">
              <w:rPr>
                <w:rStyle w:val="Hyperlink"/>
                <w:noProof/>
              </w:rPr>
              <w:t>4.2.</w:t>
            </w:r>
            <w:r w:rsidR="00005167">
              <w:rPr>
                <w:rFonts w:eastAsiaTheme="minorEastAsia"/>
                <w:noProof/>
              </w:rPr>
              <w:tab/>
            </w:r>
            <w:r w:rsidR="00005167" w:rsidRPr="00D233B7">
              <w:rPr>
                <w:rStyle w:val="Hyperlink"/>
                <w:noProof/>
              </w:rPr>
              <w:t>Estimated reduced baselines for each installation</w:t>
            </w:r>
            <w:r w:rsidR="00005167">
              <w:rPr>
                <w:noProof/>
                <w:webHidden/>
              </w:rPr>
              <w:tab/>
            </w:r>
            <w:r w:rsidR="00005167">
              <w:rPr>
                <w:noProof/>
                <w:webHidden/>
              </w:rPr>
              <w:fldChar w:fldCharType="begin"/>
            </w:r>
            <w:r w:rsidR="00005167">
              <w:rPr>
                <w:noProof/>
                <w:webHidden/>
              </w:rPr>
              <w:instrText xml:space="preserve"> PAGEREF _Toc385229006 \h </w:instrText>
            </w:r>
            <w:r w:rsidR="00005167">
              <w:rPr>
                <w:noProof/>
                <w:webHidden/>
              </w:rPr>
            </w:r>
            <w:r w:rsidR="00005167">
              <w:rPr>
                <w:noProof/>
                <w:webHidden/>
              </w:rPr>
              <w:fldChar w:fldCharType="separate"/>
            </w:r>
            <w:r w:rsidR="003D618F">
              <w:rPr>
                <w:noProof/>
                <w:webHidden/>
              </w:rPr>
              <w:t>8</w:t>
            </w:r>
            <w:r w:rsidR="00005167">
              <w:rPr>
                <w:noProof/>
                <w:webHidden/>
              </w:rPr>
              <w:fldChar w:fldCharType="end"/>
            </w:r>
          </w:hyperlink>
        </w:p>
        <w:p w:rsidR="00005167" w:rsidRDefault="00C959CB">
          <w:pPr>
            <w:pStyle w:val="TOC2"/>
            <w:tabs>
              <w:tab w:val="left" w:pos="880"/>
              <w:tab w:val="right" w:leader="dot" w:pos="10790"/>
            </w:tabs>
            <w:rPr>
              <w:rFonts w:eastAsiaTheme="minorEastAsia"/>
              <w:noProof/>
            </w:rPr>
          </w:pPr>
          <w:hyperlink w:anchor="_Toc385229007" w:history="1">
            <w:r w:rsidR="00005167" w:rsidRPr="00D233B7">
              <w:rPr>
                <w:rStyle w:val="Hyperlink"/>
                <w:noProof/>
              </w:rPr>
              <w:t>4.3.</w:t>
            </w:r>
            <w:r w:rsidR="00005167">
              <w:rPr>
                <w:rFonts w:eastAsiaTheme="minorEastAsia"/>
                <w:noProof/>
              </w:rPr>
              <w:tab/>
            </w:r>
            <w:r w:rsidR="00005167" w:rsidRPr="00D233B7">
              <w:rPr>
                <w:rStyle w:val="Hyperlink"/>
                <w:noProof/>
              </w:rPr>
              <w:t>Quarterly utility execution savings report and resetting of baseline</w:t>
            </w:r>
            <w:r w:rsidR="00005167">
              <w:rPr>
                <w:noProof/>
                <w:webHidden/>
              </w:rPr>
              <w:tab/>
            </w:r>
            <w:r w:rsidR="00005167">
              <w:rPr>
                <w:noProof/>
                <w:webHidden/>
              </w:rPr>
              <w:fldChar w:fldCharType="begin"/>
            </w:r>
            <w:r w:rsidR="00005167">
              <w:rPr>
                <w:noProof/>
                <w:webHidden/>
              </w:rPr>
              <w:instrText xml:space="preserve"> PAGEREF _Toc385229007 \h </w:instrText>
            </w:r>
            <w:r w:rsidR="00005167">
              <w:rPr>
                <w:noProof/>
                <w:webHidden/>
              </w:rPr>
            </w:r>
            <w:r w:rsidR="00005167">
              <w:rPr>
                <w:noProof/>
                <w:webHidden/>
              </w:rPr>
              <w:fldChar w:fldCharType="separate"/>
            </w:r>
            <w:r w:rsidR="003D618F">
              <w:rPr>
                <w:noProof/>
                <w:webHidden/>
              </w:rPr>
              <w:t>11</w:t>
            </w:r>
            <w:r w:rsidR="00005167">
              <w:rPr>
                <w:noProof/>
                <w:webHidden/>
              </w:rPr>
              <w:fldChar w:fldCharType="end"/>
            </w:r>
          </w:hyperlink>
        </w:p>
        <w:p w:rsidR="00005167" w:rsidRDefault="00C959CB">
          <w:pPr>
            <w:pStyle w:val="TOC1"/>
            <w:tabs>
              <w:tab w:val="right" w:leader="dot" w:pos="10790"/>
            </w:tabs>
            <w:rPr>
              <w:rFonts w:eastAsiaTheme="minorEastAsia"/>
              <w:noProof/>
            </w:rPr>
          </w:pPr>
          <w:hyperlink w:anchor="_Toc385229008" w:history="1">
            <w:r w:rsidR="00005167" w:rsidRPr="00D233B7">
              <w:rPr>
                <w:rStyle w:val="Hyperlink"/>
                <w:noProof/>
              </w:rPr>
              <w:t>APPENDIX A: NAVFAC Points of Contact</w:t>
            </w:r>
            <w:r w:rsidR="00005167">
              <w:rPr>
                <w:noProof/>
                <w:webHidden/>
              </w:rPr>
              <w:tab/>
            </w:r>
            <w:r w:rsidR="00005167">
              <w:rPr>
                <w:noProof/>
                <w:webHidden/>
              </w:rPr>
              <w:fldChar w:fldCharType="begin"/>
            </w:r>
            <w:r w:rsidR="00005167">
              <w:rPr>
                <w:noProof/>
                <w:webHidden/>
              </w:rPr>
              <w:instrText xml:space="preserve"> PAGEREF _Toc385229008 \h </w:instrText>
            </w:r>
            <w:r w:rsidR="00005167">
              <w:rPr>
                <w:noProof/>
                <w:webHidden/>
              </w:rPr>
            </w:r>
            <w:r w:rsidR="00005167">
              <w:rPr>
                <w:noProof/>
                <w:webHidden/>
              </w:rPr>
              <w:fldChar w:fldCharType="separate"/>
            </w:r>
            <w:r w:rsidR="003D618F">
              <w:rPr>
                <w:noProof/>
                <w:webHidden/>
              </w:rPr>
              <w:t>13</w:t>
            </w:r>
            <w:r w:rsidR="00005167">
              <w:rPr>
                <w:noProof/>
                <w:webHidden/>
              </w:rPr>
              <w:fldChar w:fldCharType="end"/>
            </w:r>
          </w:hyperlink>
        </w:p>
        <w:p w:rsidR="005B4C2A" w:rsidRPr="005B4C2A" w:rsidRDefault="00CD0169" w:rsidP="00A57E0C">
          <w:pPr>
            <w:suppressAutoHyphens/>
            <w:jc w:val="both"/>
            <w:rPr>
              <w:b/>
              <w:bCs/>
              <w:noProof/>
            </w:rPr>
          </w:pPr>
          <w:r>
            <w:rPr>
              <w:b/>
              <w:bCs/>
              <w:noProof/>
            </w:rPr>
            <w:fldChar w:fldCharType="end"/>
          </w:r>
        </w:p>
      </w:sdtContent>
    </w:sdt>
    <w:p w:rsidR="00A260E0" w:rsidRPr="005B4C2A" w:rsidRDefault="00A260E0" w:rsidP="00A57E0C">
      <w:pPr>
        <w:suppressAutoHyphens/>
        <w:jc w:val="both"/>
      </w:pPr>
      <w:r>
        <w:br w:type="page"/>
      </w:r>
      <w:bookmarkStart w:id="0" w:name="_Toc351542743"/>
    </w:p>
    <w:p w:rsidR="002129AD" w:rsidRDefault="002129AD" w:rsidP="00A57E0C">
      <w:pPr>
        <w:pStyle w:val="Heading1"/>
        <w:suppressAutoHyphens/>
        <w:jc w:val="both"/>
      </w:pPr>
      <w:bookmarkStart w:id="1" w:name="_Toc369111765"/>
      <w:bookmarkStart w:id="2" w:name="_Toc385228992"/>
      <w:r>
        <w:t>Purpose</w:t>
      </w:r>
      <w:bookmarkEnd w:id="0"/>
      <w:r w:rsidR="000C59D6">
        <w:t xml:space="preserve"> and Background</w:t>
      </w:r>
      <w:bookmarkEnd w:id="1"/>
      <w:bookmarkEnd w:id="2"/>
    </w:p>
    <w:p w:rsidR="003163D1" w:rsidRPr="00E95056" w:rsidRDefault="003163D1" w:rsidP="00303A73">
      <w:pPr>
        <w:autoSpaceDE w:val="0"/>
        <w:autoSpaceDN w:val="0"/>
        <w:adjustRightInd w:val="0"/>
        <w:spacing w:after="100" w:afterAutospacing="1"/>
      </w:pPr>
      <w:bookmarkStart w:id="3" w:name="_Toc365528198"/>
      <w:bookmarkStart w:id="4" w:name="_Toc351542750"/>
      <w:bookmarkStart w:id="5" w:name="_Toc365528191"/>
      <w:r>
        <w:t>This documentation provides direction for the United States Marine Corps (USMC) to reduce Installation utilities exec</w:t>
      </w:r>
      <w:r>
        <w:t>u</w:t>
      </w:r>
      <w:r>
        <w:t>tion (</w:t>
      </w:r>
      <w:r w:rsidRPr="0034019D">
        <w:t xml:space="preserve">the net cost of purchasing and operating utilities) from FY15 through FY20.  </w:t>
      </w:r>
      <w:r>
        <w:t xml:space="preserve"> T</w:t>
      </w:r>
      <w:r w:rsidRPr="00E95056">
        <w:t>he MCICOM Installations Energy Strategy, published in 2013, outlined key strategies required to improve USMC mission readiness.  Those strategies i</w:t>
      </w:r>
      <w:r w:rsidRPr="00E95056">
        <w:t>n</w:t>
      </w:r>
      <w:r w:rsidRPr="00E95056">
        <w:t xml:space="preserve">clude the </w:t>
      </w:r>
      <w:r>
        <w:t>i</w:t>
      </w:r>
      <w:r w:rsidRPr="00E95056">
        <w:t xml:space="preserve">mplementation of </w:t>
      </w:r>
      <w:r>
        <w:t>p</w:t>
      </w:r>
      <w:r w:rsidRPr="00E95056">
        <w:t xml:space="preserve">rudent management practices; supporting and achieving mandates; conserving energy, and reducing </w:t>
      </w:r>
      <w:r>
        <w:t>utilities costs</w:t>
      </w:r>
      <w:r w:rsidRPr="00E95056">
        <w:t xml:space="preserve">.  </w:t>
      </w:r>
      <w:r>
        <w:t xml:space="preserve">The intent of this guidance is to provide a uniform approach in </w:t>
      </w:r>
      <w:r w:rsidR="008F44FA">
        <w:t>the reduction of</w:t>
      </w:r>
      <w:r w:rsidRPr="00E95056">
        <w:t xml:space="preserve"> </w:t>
      </w:r>
      <w:r>
        <w:t xml:space="preserve">utilities </w:t>
      </w:r>
      <w:r w:rsidR="005F3F60">
        <w:t>costs through the reduction of execution</w:t>
      </w:r>
      <w:r w:rsidR="008F44FA">
        <w:t>.  This will be achieved by</w:t>
      </w:r>
      <w:r w:rsidRPr="00E95056">
        <w:t xml:space="preserve"> decreasing consumption</w:t>
      </w:r>
      <w:r>
        <w:t xml:space="preserve"> </w:t>
      </w:r>
      <w:r w:rsidR="008F44FA">
        <w:t>and</w:t>
      </w:r>
      <w:r>
        <w:t xml:space="preserve"> </w:t>
      </w:r>
      <w:r w:rsidR="008F44FA">
        <w:t>pursuing</w:t>
      </w:r>
      <w:r w:rsidRPr="00E95056">
        <w:t xml:space="preserve"> more econo</w:t>
      </w:r>
      <w:r w:rsidRPr="00E95056">
        <w:t>m</w:t>
      </w:r>
      <w:r w:rsidRPr="00E95056">
        <w:t xml:space="preserve">ical practices in the utilization of </w:t>
      </w:r>
      <w:r>
        <w:t xml:space="preserve">USMC </w:t>
      </w:r>
      <w:r w:rsidRPr="00E95056">
        <w:t xml:space="preserve">utility resources.  </w:t>
      </w:r>
    </w:p>
    <w:p w:rsidR="008F44FA" w:rsidRDefault="008F44FA" w:rsidP="00303A73">
      <w:r>
        <w:t>Currently, the provision of utilities consumes 19% of all BOS (Base Operating Support) non-labor execution.  This pe</w:t>
      </w:r>
      <w:r>
        <w:t>r</w:t>
      </w:r>
      <w:r>
        <w:t>centage is destined to increase due to rising costs of utilities, growing installation footprints, and the cumulative d</w:t>
      </w:r>
      <w:r>
        <w:t>e</w:t>
      </w:r>
      <w:r>
        <w:t xml:space="preserve">mands on the use of installation facilities for the support of day to day activities.  Actions to decrease this percentage must be taken now to free up funds needed to support other BOS Programs.  Reducing BOS utilities requirements will allow comptrollers to take </w:t>
      </w:r>
      <w:bookmarkStart w:id="6" w:name="_GoBack"/>
      <w:bookmarkEnd w:id="6"/>
      <w:r>
        <w:t>real time actions to shore up programs that may be underfunded with funds originally bud</w:t>
      </w:r>
      <w:r>
        <w:t>g</w:t>
      </w:r>
      <w:r>
        <w:t xml:space="preserve">eted for the Utilities Program. </w:t>
      </w:r>
    </w:p>
    <w:p w:rsidR="0080441A" w:rsidRDefault="008F44FA" w:rsidP="00303A73">
      <w:r>
        <w:t xml:space="preserve">This “Utilities </w:t>
      </w:r>
      <w:r w:rsidR="00C959CB">
        <w:t xml:space="preserve">Demand </w:t>
      </w:r>
      <w:r>
        <w:t>Reduction Guidance” sets a target for the Marine Corps and for each installation.  By the end of FY20, utility execution w</w:t>
      </w:r>
      <w:r w:rsidR="001F1CB5">
        <w:t xml:space="preserve">ill be </w:t>
      </w:r>
      <w:r w:rsidR="00C959CB">
        <w:t xml:space="preserve">at least </w:t>
      </w:r>
      <w:r w:rsidR="001F1CB5">
        <w:t>10% lower than estimates using a FY13 baseline</w:t>
      </w:r>
      <w:r>
        <w:t xml:space="preserve">.  To achieve this goal, installations must reduce their utility execution by </w:t>
      </w:r>
      <w:r w:rsidR="00830D09">
        <w:t>0</w:t>
      </w:r>
      <w:r>
        <w:t xml:space="preserve">.88% each year from FY15 through FY20.  Savings of $86 Million could be achieved by a ten percent reduction in utility execution.  </w:t>
      </w:r>
      <w:r w:rsidR="005F3F60" w:rsidRPr="005F3F60">
        <w:t>This reduction can be achieved by decreasing the use of utilities through ind</w:t>
      </w:r>
      <w:r w:rsidR="005F3F60" w:rsidRPr="005F3F60">
        <w:t>i</w:t>
      </w:r>
      <w:r w:rsidR="005F3F60" w:rsidRPr="005F3F60">
        <w:t xml:space="preserve">vidual and unit actions, as well as efficiencies achieved by energy projects yet to be done.  </w:t>
      </w:r>
      <w:r w:rsidR="0080441A">
        <w:t>Individual and Unit actions described in this guidance include</w:t>
      </w:r>
      <w:r>
        <w:t xml:space="preserve"> the pursuit of more economical utilities contracts, </w:t>
      </w:r>
      <w:r w:rsidR="0080441A">
        <w:t xml:space="preserve">strategic </w:t>
      </w:r>
      <w:r>
        <w:t xml:space="preserve">utilization of Industrial </w:t>
      </w:r>
      <w:r w:rsidR="0080441A">
        <w:t>C</w:t>
      </w:r>
      <w:r>
        <w:t>on</w:t>
      </w:r>
      <w:r w:rsidR="0080441A">
        <w:t>trol Systems</w:t>
      </w:r>
      <w:r>
        <w:t>, and the demolition or shuttering of excess buildings with a focus on utility savings</w:t>
      </w:r>
      <w:r w:rsidR="0080441A">
        <w:t>.</w:t>
      </w:r>
    </w:p>
    <w:p w:rsidR="003163D1" w:rsidRDefault="005F3F60" w:rsidP="00303A73">
      <w:r>
        <w:t>Lastly, a</w:t>
      </w:r>
      <w:r w:rsidR="008F44FA">
        <w:t>t the end of each quarter, each installation will be requested to provide a “Quarterly Utilities Execution Redu</w:t>
      </w:r>
      <w:r w:rsidR="008F44FA">
        <w:t>c</w:t>
      </w:r>
      <w:r w:rsidR="008F44FA">
        <w:t>tions Report”, outlining milestones in achieving the utilities execution reduction goal.  This report will provide the means to track progress towards our ten percent execution saving goal, and provide a means to adjust goals based upon real time increases or decreases in utility rates, unforeseen weather patterns, or other unexpected utilities costs.</w:t>
      </w:r>
    </w:p>
    <w:p w:rsidR="00996AF8" w:rsidRPr="004819D4" w:rsidRDefault="00996AF8" w:rsidP="003E3F01">
      <w:pPr>
        <w:pStyle w:val="Heading1"/>
      </w:pPr>
      <w:bookmarkStart w:id="7" w:name="_Toc369111766"/>
      <w:bookmarkStart w:id="8" w:name="_Toc385228993"/>
      <w:r w:rsidRPr="004819D4">
        <w:t>Roles and Responsibilities</w:t>
      </w:r>
      <w:bookmarkEnd w:id="7"/>
      <w:bookmarkEnd w:id="8"/>
      <w:r w:rsidRPr="004819D4">
        <w:t xml:space="preserve"> </w:t>
      </w:r>
    </w:p>
    <w:p w:rsidR="00996AF8" w:rsidRPr="004819D4" w:rsidRDefault="005A10EC" w:rsidP="00303A73">
      <w:pPr>
        <w:pStyle w:val="BodyText"/>
      </w:pPr>
      <w:r w:rsidRPr="004819D4">
        <w:t>The following sections define roles and responsibilities</w:t>
      </w:r>
      <w:r w:rsidR="00996AF8" w:rsidRPr="004819D4">
        <w:t xml:space="preserve"> performed by HQMC, Regional Commands, Installation Commanders, and </w:t>
      </w:r>
      <w:r w:rsidR="0080441A">
        <w:t>Installation Energy and Utility Managers.</w:t>
      </w:r>
    </w:p>
    <w:p w:rsidR="00996AF8" w:rsidRPr="004819D4" w:rsidRDefault="00996AF8" w:rsidP="003E3F01">
      <w:pPr>
        <w:pStyle w:val="Heading2"/>
      </w:pPr>
      <w:bookmarkStart w:id="9" w:name="_Toc369111767"/>
      <w:bookmarkStart w:id="10" w:name="_Toc385228994"/>
      <w:r w:rsidRPr="004819D4">
        <w:t>Headquarters U.S</w:t>
      </w:r>
      <w:r w:rsidR="00524465">
        <w:t xml:space="preserve">.  </w:t>
      </w:r>
      <w:r w:rsidRPr="004819D4">
        <w:t>Marine Corps (HQMC)</w:t>
      </w:r>
      <w:bookmarkEnd w:id="9"/>
      <w:bookmarkEnd w:id="10"/>
    </w:p>
    <w:p w:rsidR="0091763C" w:rsidRDefault="0091763C" w:rsidP="0091763C">
      <w:pPr>
        <w:suppressAutoHyphens/>
        <w:jc w:val="both"/>
      </w:pPr>
      <w:r w:rsidRPr="00751318">
        <w:t xml:space="preserve">Headquarters Marine Corps, the </w:t>
      </w:r>
      <w:r>
        <w:t>Assistant Deputy Commandant, Installations and Logistics (Facilities)/Commander,</w:t>
      </w:r>
      <w:r w:rsidRPr="00751318">
        <w:t xml:space="preserve"> </w:t>
      </w:r>
      <w:r>
        <w:t>Marine Corps Installation Command (MCICOM)</w:t>
      </w:r>
      <w:r w:rsidRPr="00751318">
        <w:t>, is responsible for formulating program polic</w:t>
      </w:r>
      <w:r>
        <w:t xml:space="preserve">y and providing technical and programmatic guidance while facilitating decision making to CMC and his staff.  Additionally, MCICOM coordinates </w:t>
      </w:r>
      <w:r w:rsidR="00E86ECF">
        <w:t>utilities a</w:t>
      </w:r>
      <w:r>
        <w:t>ctivities between the Installations, Regions, and CMC or higher headquarters.</w:t>
      </w:r>
    </w:p>
    <w:p w:rsidR="00996AF8" w:rsidRDefault="00996AF8" w:rsidP="003E3F01">
      <w:pPr>
        <w:pStyle w:val="Heading2"/>
      </w:pPr>
      <w:bookmarkStart w:id="11" w:name="_Toc369111768"/>
      <w:bookmarkStart w:id="12" w:name="_Toc385228995"/>
      <w:r w:rsidRPr="004819D4">
        <w:t>Regional Commands</w:t>
      </w:r>
      <w:bookmarkEnd w:id="11"/>
      <w:bookmarkEnd w:id="12"/>
    </w:p>
    <w:p w:rsidR="0091763C" w:rsidRDefault="005A10EC" w:rsidP="00303A73">
      <w:pPr>
        <w:pStyle w:val="BodyText"/>
      </w:pPr>
      <w:r>
        <w:t>MCICOM is organized into four regional authorities: MCIEAST, MCIWEST, MCIPACIFIC, and MCI NATIONAL CAPITAL REGION.</w:t>
      </w:r>
      <w:r w:rsidR="0091763C">
        <w:t xml:space="preserve"> </w:t>
      </w:r>
      <w:r w:rsidR="0091763C" w:rsidDel="00A5555F">
        <w:t xml:space="preserve"> </w:t>
      </w:r>
      <w:r w:rsidR="0091763C">
        <w:t xml:space="preserve">Each of these regions shall ensure their subordinate Installations conform to </w:t>
      </w:r>
      <w:r w:rsidR="00E86ECF">
        <w:t>utility execution reduction</w:t>
      </w:r>
      <w:r w:rsidR="0091763C">
        <w:t xml:space="preserve"> procedures as outlined in this guide and as defined in existing policy.  The Region will provide coordination between Installations and </w:t>
      </w:r>
      <w:r w:rsidR="00E86ECF">
        <w:t>MCICOM</w:t>
      </w:r>
      <w:r w:rsidR="0091763C">
        <w:t xml:space="preserve"> to </w:t>
      </w:r>
      <w:r w:rsidR="009D0C33">
        <w:t>distinguish</w:t>
      </w:r>
      <w:r w:rsidR="0091763C">
        <w:t xml:space="preserve"> roles and responsibilities and resolve issues as needed.  Regional commands shall provide the </w:t>
      </w:r>
      <w:r w:rsidR="0091763C" w:rsidRPr="00802D0F">
        <w:t xml:space="preserve">minimum support essential to the mission, operations, and ancillary function of </w:t>
      </w:r>
      <w:r w:rsidR="0091763C">
        <w:t>assigned units, tenant organizations,</w:t>
      </w:r>
      <w:r w:rsidR="0091763C" w:rsidRPr="00802D0F">
        <w:t xml:space="preserve"> and personnel in accordance with </w:t>
      </w:r>
      <w:r w:rsidR="0091763C">
        <w:t xml:space="preserve">applicable policy and agreements.  </w:t>
      </w:r>
    </w:p>
    <w:p w:rsidR="005A10EC" w:rsidRDefault="00996AF8" w:rsidP="005A10EC">
      <w:pPr>
        <w:pStyle w:val="Heading2"/>
      </w:pPr>
      <w:bookmarkStart w:id="13" w:name="_Toc369111769"/>
      <w:bookmarkStart w:id="14" w:name="_Toc385228996"/>
      <w:r>
        <w:t>Training and Education Command (TECOM)</w:t>
      </w:r>
      <w:bookmarkEnd w:id="13"/>
      <w:bookmarkEnd w:id="14"/>
      <w:r>
        <w:t xml:space="preserve"> </w:t>
      </w:r>
    </w:p>
    <w:p w:rsidR="0091763C" w:rsidRDefault="0091763C" w:rsidP="0091763C">
      <w:pPr>
        <w:pStyle w:val="ListParagraph"/>
        <w:ind w:left="0"/>
        <w:jc w:val="both"/>
      </w:pPr>
      <w:r>
        <w:t>TECOM has ownership of four Installations in the Marine Corps: Marine Corps Recruiting Depot (MCRD) San Diego, MCRD Parris Island, Marine Corps Air Ground Combat Center (MCAGCC) Twenty-nine Palms, and Mountain Warfare Training Center (MWTC) Bridgeport.  For the purposes of this guidance, these Installations are considered to be suppor</w:t>
      </w:r>
      <w:r>
        <w:t>t</w:t>
      </w:r>
      <w:r>
        <w:t>ed by the MCI Regional Commands and should comply with the guidance set forth in this document and where appr</w:t>
      </w:r>
      <w:r>
        <w:t>o</w:t>
      </w:r>
      <w:r>
        <w:t xml:space="preserve">priate report through the MCI Regional Command structure.  TECOM shall provide the </w:t>
      </w:r>
      <w:r w:rsidRPr="00802D0F">
        <w:t xml:space="preserve">minimum support essential to the mission, operations, and ancillary function of </w:t>
      </w:r>
      <w:r>
        <w:t>assigned units, tenant organizations,</w:t>
      </w:r>
      <w:r w:rsidRPr="00802D0F">
        <w:t xml:space="preserve"> and personnel in accordance with </w:t>
      </w:r>
      <w:r>
        <w:t>applicable policy and agreements.</w:t>
      </w:r>
    </w:p>
    <w:p w:rsidR="00996AF8" w:rsidRPr="004819D4" w:rsidRDefault="00996AF8" w:rsidP="003E3F01">
      <w:pPr>
        <w:pStyle w:val="Heading2"/>
      </w:pPr>
      <w:bookmarkStart w:id="15" w:name="_Toc369111773"/>
      <w:bookmarkStart w:id="16" w:name="_Toc385228997"/>
      <w:r>
        <w:t>Installation Commanders</w:t>
      </w:r>
      <w:bookmarkEnd w:id="15"/>
      <w:bookmarkEnd w:id="16"/>
    </w:p>
    <w:p w:rsidR="00FF1DE9" w:rsidRDefault="00924189" w:rsidP="007E24AA">
      <w:r>
        <w:t xml:space="preserve">Installation Commanders will ensure </w:t>
      </w:r>
      <w:r w:rsidR="00E86ECF">
        <w:t>that goals established and set forth from Regions and MCICOM are reached, and that all reporting requirements set forth in this guidance are fully met</w:t>
      </w:r>
      <w:r w:rsidR="005A10EC">
        <w:t xml:space="preserve">.  </w:t>
      </w:r>
      <w:r>
        <w:t xml:space="preserve">Installation Commanders shall ensure </w:t>
      </w:r>
      <w:r w:rsidR="00962FCC">
        <w:t>coordin</w:t>
      </w:r>
      <w:r w:rsidR="00962FCC">
        <w:t>a</w:t>
      </w:r>
      <w:r w:rsidR="00962FCC">
        <w:t xml:space="preserve">tion with the Region and </w:t>
      </w:r>
      <w:r w:rsidR="00E86ECF">
        <w:t>MCICOM as required</w:t>
      </w:r>
      <w:r>
        <w:t xml:space="preserve">.  </w:t>
      </w:r>
      <w:r w:rsidR="005A10EC" w:rsidRPr="002B1BFF">
        <w:t xml:space="preserve">Additionally, Installation Commanders will </w:t>
      </w:r>
      <w:r w:rsidR="005A10EC">
        <w:t xml:space="preserve">ensure </w:t>
      </w:r>
      <w:r w:rsidR="00E86ECF">
        <w:t>proper redistribution of utilities dollars to other installation programs resulting from savings achieved from this guidance</w:t>
      </w:r>
      <w:r w:rsidR="005A10EC" w:rsidRPr="002B1BFF">
        <w:t>.</w:t>
      </w:r>
      <w:r w:rsidR="005A10EC">
        <w:t xml:space="preserve">  Any significant def</w:t>
      </w:r>
      <w:r w:rsidR="005A10EC">
        <w:t>i</w:t>
      </w:r>
      <w:r w:rsidR="005A10EC">
        <w:t>ciencies</w:t>
      </w:r>
      <w:r w:rsidR="00962FCC">
        <w:t xml:space="preserve"> </w:t>
      </w:r>
      <w:r w:rsidR="00E86ECF">
        <w:t>in goals set forth in this guidance</w:t>
      </w:r>
      <w:r w:rsidR="00962FCC">
        <w:t xml:space="preserve"> should be reported to MCICOM through the chain of command.</w:t>
      </w:r>
      <w:bookmarkEnd w:id="3"/>
      <w:bookmarkEnd w:id="4"/>
      <w:bookmarkEnd w:id="5"/>
      <w:r w:rsidR="00FF1DE9" w:rsidRPr="00FF1DE9">
        <w:t xml:space="preserve"> </w:t>
      </w:r>
    </w:p>
    <w:p w:rsidR="00FF1DE9" w:rsidRDefault="00FF1DE9" w:rsidP="00FF1DE9">
      <w:pPr>
        <w:pStyle w:val="Heading1"/>
        <w:numPr>
          <w:ilvl w:val="0"/>
          <w:numId w:val="37"/>
        </w:numPr>
      </w:pPr>
      <w:bookmarkStart w:id="17" w:name="_Toc377368175"/>
      <w:bookmarkStart w:id="18" w:name="_Toc385228998"/>
      <w:r>
        <w:t>Description of Utilities Execution Reduction Actions</w:t>
      </w:r>
      <w:bookmarkEnd w:id="17"/>
      <w:bookmarkEnd w:id="18"/>
    </w:p>
    <w:p w:rsidR="00FF1DE9" w:rsidRPr="00D76556" w:rsidRDefault="00FF1DE9" w:rsidP="00FF1DE9"/>
    <w:p w:rsidR="00FF1DE9" w:rsidRDefault="00FF1DE9" w:rsidP="00FF1DE9">
      <w:pPr>
        <w:pStyle w:val="Heading2"/>
        <w:numPr>
          <w:ilvl w:val="1"/>
          <w:numId w:val="37"/>
        </w:numPr>
        <w:ind w:left="450" w:hanging="450"/>
      </w:pPr>
      <w:r>
        <w:t xml:space="preserve"> </w:t>
      </w:r>
      <w:bookmarkStart w:id="19" w:name="_Toc377368176"/>
      <w:bookmarkStart w:id="20" w:name="_Toc385228999"/>
      <w:r>
        <w:t>Ethos</w:t>
      </w:r>
      <w:bookmarkEnd w:id="19"/>
      <w:bookmarkEnd w:id="20"/>
    </w:p>
    <w:p w:rsidR="00FF1DE9" w:rsidRDefault="00FF1DE9" w:rsidP="007E24AA">
      <w:r>
        <w:t>The USMC Installation Energy Strategy describes Energy Ethos as a “shared vision that the efficient use of energy r</w:t>
      </w:r>
      <w:r>
        <w:t>e</w:t>
      </w:r>
      <w:r>
        <w:t>sources is a critical component of mission readiness”.  Currently, operating budgets face increasing pressure from bud</w:t>
      </w:r>
      <w:r>
        <w:t>g</w:t>
      </w:r>
      <w:r>
        <w:t>et reduction mandates while rising utilities costs threaten to take larger portions of installations’ BOS (Base Operating Support) budget.   An Energy Ethos requiring diligent management of all our utilities will help us to meet increasing budget reduction mandates, especially for larger programs like Utilities where we have opportunities to reduce exec</w:t>
      </w:r>
      <w:r>
        <w:t>u</w:t>
      </w:r>
      <w:r>
        <w:t xml:space="preserve">tion.  . </w:t>
      </w:r>
    </w:p>
    <w:p w:rsidR="00FF1DE9" w:rsidRDefault="00FF1DE9" w:rsidP="007E24AA">
      <w:r>
        <w:t>An effective Energy Ethos will drive down utilities execution by; planning installation functions and operational decisions with consideration for saving utilities costs, involving supported command and tenant units in the team effort of saving utility resources, and raising end-user awareness in the value of driving down utilities costs.  Specifically, the education of Marines on the efficient use of utilities such as Electricity, Water, and Natural Gas can be a principal means of driving down utilities execution.  By establishing an Ethos that puts the responsibility in the hands of every Marine and Civilian Marine, we can make significant strides in our utilities execution reduction goals.  Assuming this responsibility means educating and setting expectations at our installations for every Marine and Civilian Marine to make every effort to r</w:t>
      </w:r>
      <w:r>
        <w:t>e</w:t>
      </w:r>
      <w:r>
        <w:t xml:space="preserve">duce their utilities consumption through the following methods and more: </w:t>
      </w:r>
    </w:p>
    <w:p w:rsidR="00FF1DE9" w:rsidRDefault="00FF1DE9" w:rsidP="00F95DB3">
      <w:pPr>
        <w:pStyle w:val="ListParagraph"/>
        <w:numPr>
          <w:ilvl w:val="0"/>
          <w:numId w:val="38"/>
        </w:numPr>
        <w:ind w:left="1080"/>
      </w:pPr>
      <w:r>
        <w:t>Turn off lights when not in use.</w:t>
      </w:r>
    </w:p>
    <w:p w:rsidR="00FF1DE9" w:rsidRDefault="00FF1DE9" w:rsidP="00F95DB3">
      <w:pPr>
        <w:pStyle w:val="ListParagraph"/>
        <w:numPr>
          <w:ilvl w:val="0"/>
          <w:numId w:val="38"/>
        </w:numPr>
        <w:ind w:left="1080"/>
      </w:pPr>
      <w:r>
        <w:t>Reduce Water consumption</w:t>
      </w:r>
    </w:p>
    <w:p w:rsidR="00FF1DE9" w:rsidRDefault="00FF1DE9" w:rsidP="00F95DB3">
      <w:pPr>
        <w:pStyle w:val="ListParagraph"/>
        <w:numPr>
          <w:ilvl w:val="0"/>
          <w:numId w:val="38"/>
        </w:numPr>
        <w:ind w:left="1080"/>
      </w:pPr>
      <w:r>
        <w:t xml:space="preserve">Expect room temperatures to be slightly warmer in the summer months and cooler in the winter months.  </w:t>
      </w:r>
    </w:p>
    <w:p w:rsidR="00FF1DE9" w:rsidRDefault="00FF1DE9" w:rsidP="00F95DB3">
      <w:pPr>
        <w:pStyle w:val="ListParagraph"/>
        <w:numPr>
          <w:ilvl w:val="0"/>
          <w:numId w:val="38"/>
        </w:numPr>
        <w:ind w:left="1080"/>
      </w:pPr>
      <w:r>
        <w:t xml:space="preserve">Ensure that devices that use energy when in standby mode (energy </w:t>
      </w:r>
      <w:r w:rsidR="003576EE">
        <w:t>“</w:t>
      </w:r>
      <w:r>
        <w:t>vampires</w:t>
      </w:r>
      <w:r w:rsidR="003576EE">
        <w:t>”</w:t>
      </w:r>
      <w:r>
        <w:t>) are unplugged or have power strips switched off when not in use.  These items include: phone chargers, TV’s, computers and rela</w:t>
      </w:r>
      <w:r>
        <w:t>t</w:t>
      </w:r>
      <w:r>
        <w:t>ed equipment left on overnight, microwaves, stereos, DVD players.</w:t>
      </w:r>
    </w:p>
    <w:p w:rsidR="00FF1DE9" w:rsidRDefault="00FF1DE9" w:rsidP="00F95DB3">
      <w:pPr>
        <w:pStyle w:val="ListParagraph"/>
        <w:numPr>
          <w:ilvl w:val="0"/>
          <w:numId w:val="38"/>
        </w:numPr>
        <w:ind w:left="1080"/>
      </w:pPr>
      <w:r>
        <w:t>Notify Energy Managers if a schedule can be tightened on HVAC and lighting systems.</w:t>
      </w:r>
    </w:p>
    <w:p w:rsidR="00FF1DE9" w:rsidRDefault="00FF1DE9" w:rsidP="00F95DB3">
      <w:pPr>
        <w:pStyle w:val="ListParagraph"/>
        <w:numPr>
          <w:ilvl w:val="0"/>
          <w:numId w:val="38"/>
        </w:numPr>
        <w:ind w:left="1080"/>
      </w:pPr>
      <w:r>
        <w:t>Hold each other accountable for excess utility consumption or waste.</w:t>
      </w:r>
    </w:p>
    <w:p w:rsidR="00FF1DE9" w:rsidRPr="00FD7DE7" w:rsidRDefault="00FF1DE9" w:rsidP="00F95DB3">
      <w:pPr>
        <w:pStyle w:val="ListParagraph"/>
        <w:numPr>
          <w:ilvl w:val="0"/>
          <w:numId w:val="38"/>
        </w:numPr>
        <w:ind w:left="1080"/>
      </w:pPr>
      <w:r>
        <w:t>Actively pursue new and innovative ways to reduce utilities consumption.</w:t>
      </w:r>
    </w:p>
    <w:p w:rsidR="00FF1DE9" w:rsidRPr="00145FC7" w:rsidRDefault="00FF1DE9" w:rsidP="00FF1DE9">
      <w:pPr>
        <w:ind w:firstLine="450"/>
      </w:pPr>
    </w:p>
    <w:p w:rsidR="00FF1DE9" w:rsidRDefault="00FF1DE9" w:rsidP="00FF1DE9">
      <w:pPr>
        <w:pStyle w:val="Heading2"/>
        <w:numPr>
          <w:ilvl w:val="1"/>
          <w:numId w:val="37"/>
        </w:numPr>
        <w:ind w:left="450" w:hanging="450"/>
      </w:pPr>
      <w:r>
        <w:t xml:space="preserve"> </w:t>
      </w:r>
      <w:bookmarkStart w:id="21" w:name="_Toc377368177"/>
      <w:bookmarkStart w:id="22" w:name="_Toc385229000"/>
      <w:r>
        <w:t>Utilities Contract Renegotiations</w:t>
      </w:r>
      <w:bookmarkEnd w:id="21"/>
      <w:bookmarkEnd w:id="22"/>
    </w:p>
    <w:p w:rsidR="00FF1DE9" w:rsidRDefault="00FF1DE9" w:rsidP="00FF1DE9">
      <w:pPr>
        <w:ind w:firstLine="450"/>
        <w:rPr>
          <w:rFonts w:cstheme="minorHAnsi"/>
          <w:color w:val="000000"/>
        </w:rPr>
      </w:pPr>
    </w:p>
    <w:p w:rsidR="00FF1DE9" w:rsidRDefault="00FF1DE9" w:rsidP="007E24AA">
      <w:pPr>
        <w:pStyle w:val="BodyText2"/>
      </w:pPr>
      <w:r>
        <w:t xml:space="preserve">Electricity is the largest consumed utility, and the most costly.  In 2013, the USMC spent about $105M on electricity alone.  Without mitigation, the amount that we spend on electricity is due to increase with </w:t>
      </w:r>
      <w:r w:rsidRPr="00EE6CC1">
        <w:t xml:space="preserve">rates </w:t>
      </w:r>
      <w:r>
        <w:t>rising throughout the country</w:t>
      </w:r>
      <w:r w:rsidRPr="00EE6CC1">
        <w:t xml:space="preserve">. These increases are largely a result of rising </w:t>
      </w:r>
      <w:r>
        <w:t>cost</w:t>
      </w:r>
      <w:r w:rsidRPr="00EE6CC1">
        <w:t xml:space="preserve">s for the fuel used by generators to produce electricity. In fact, fossil fuel </w:t>
      </w:r>
      <w:r>
        <w:t>costs</w:t>
      </w:r>
      <w:r w:rsidRPr="00EE6CC1">
        <w:t xml:space="preserve"> have increased over 150 percent since 1999. </w:t>
      </w:r>
      <w:r>
        <w:t xml:space="preserve"> </w:t>
      </w:r>
      <w:r w:rsidRPr="00EE6CC1">
        <w:t xml:space="preserve">Fuel </w:t>
      </w:r>
      <w:r>
        <w:t>costs</w:t>
      </w:r>
      <w:r w:rsidRPr="00EE6CC1">
        <w:t xml:space="preserve"> are rising due to global demand for fossil fuels, the impact of supply interruptions from the hurricanes in 2005, and insufficient domestic production. The push for cleaner, more reliable and efficient power plants drive </w:t>
      </w:r>
      <w:r>
        <w:t>prices</w:t>
      </w:r>
      <w:r w:rsidRPr="00EE6CC1">
        <w:t xml:space="preserve"> higher as well.</w:t>
      </w:r>
      <w:r>
        <w:t xml:space="preserve">  To help reduce electricity costs, Install</w:t>
      </w:r>
      <w:r>
        <w:t>a</w:t>
      </w:r>
      <w:r>
        <w:t>tions should ensure that they are getting the best possible electric</w:t>
      </w:r>
      <w:r w:rsidR="007E24AA">
        <w:t>ity</w:t>
      </w:r>
      <w:r>
        <w:t xml:space="preserve"> rate.  </w:t>
      </w:r>
    </w:p>
    <w:p w:rsidR="00FF1DE9" w:rsidRDefault="00FF1DE9" w:rsidP="007E24AA">
      <w:pPr>
        <w:rPr>
          <w:rFonts w:cstheme="minorHAnsi"/>
          <w:color w:val="000000"/>
        </w:rPr>
      </w:pPr>
      <w:r>
        <w:rPr>
          <w:rFonts w:cstheme="minorHAnsi"/>
          <w:color w:val="000000"/>
        </w:rPr>
        <w:t>Other utility rates should be reviewed as well.  In 2013 the USMC spent approximately the following on utilities co</w:t>
      </w:r>
      <w:r>
        <w:rPr>
          <w:rFonts w:cstheme="minorHAnsi"/>
          <w:color w:val="000000"/>
        </w:rPr>
        <w:t>n</w:t>
      </w:r>
      <w:r>
        <w:rPr>
          <w:rFonts w:cstheme="minorHAnsi"/>
          <w:color w:val="000000"/>
        </w:rPr>
        <w:t>tracts</w:t>
      </w:r>
      <w:r w:rsidR="00134EC0">
        <w:rPr>
          <w:rFonts w:cstheme="minorHAnsi"/>
          <w:color w:val="000000"/>
        </w:rPr>
        <w:t>:</w:t>
      </w:r>
      <w:r>
        <w:rPr>
          <w:rFonts w:cstheme="minorHAnsi"/>
          <w:color w:val="000000"/>
        </w:rPr>
        <w:t xml:space="preserve"> Natural Gas $14M, Fuels including fuel oil $</w:t>
      </w:r>
      <w:proofErr w:type="gramStart"/>
      <w:r>
        <w:rPr>
          <w:rFonts w:cstheme="minorHAnsi"/>
          <w:color w:val="000000"/>
        </w:rPr>
        <w:t>14M ,</w:t>
      </w:r>
      <w:proofErr w:type="gramEnd"/>
      <w:r>
        <w:rPr>
          <w:rFonts w:cstheme="minorHAnsi"/>
          <w:color w:val="000000"/>
        </w:rPr>
        <w:t xml:space="preserve"> Coal $9M, Water purchases $6M, Sewage Contracts $6M,  Pr</w:t>
      </w:r>
      <w:r>
        <w:rPr>
          <w:rFonts w:cstheme="minorHAnsi"/>
          <w:color w:val="000000"/>
        </w:rPr>
        <w:t>o</w:t>
      </w:r>
      <w:r>
        <w:rPr>
          <w:rFonts w:cstheme="minorHAnsi"/>
          <w:color w:val="000000"/>
        </w:rPr>
        <w:t>pane $3M.  Additionally, we can expect utilities like water and sewage to increase in cost as fuel and electricity rates i</w:t>
      </w:r>
      <w:r>
        <w:rPr>
          <w:rFonts w:cstheme="minorHAnsi"/>
          <w:color w:val="000000"/>
        </w:rPr>
        <w:t>n</w:t>
      </w:r>
      <w:r>
        <w:rPr>
          <w:rFonts w:cstheme="minorHAnsi"/>
          <w:color w:val="000000"/>
        </w:rPr>
        <w:t>crease.</w:t>
      </w:r>
    </w:p>
    <w:p w:rsidR="00FF1DE9" w:rsidRDefault="00FF1DE9" w:rsidP="007E24AA">
      <w:r>
        <w:rPr>
          <w:rFonts w:cstheme="minorHAnsi"/>
        </w:rPr>
        <w:t>To mitigate rising utility execution, installation E</w:t>
      </w:r>
      <w:r w:rsidRPr="00EE6CC1">
        <w:rPr>
          <w:rFonts w:cstheme="minorHAnsi"/>
        </w:rPr>
        <w:t xml:space="preserve">nergy </w:t>
      </w:r>
      <w:r>
        <w:rPr>
          <w:rFonts w:cstheme="minorHAnsi"/>
        </w:rPr>
        <w:t>and Utilities M</w:t>
      </w:r>
      <w:r w:rsidRPr="00EE6CC1">
        <w:rPr>
          <w:rFonts w:cstheme="minorHAnsi"/>
        </w:rPr>
        <w:t xml:space="preserve">anagers should review </w:t>
      </w:r>
      <w:r>
        <w:rPr>
          <w:rFonts w:cstheme="minorHAnsi"/>
        </w:rPr>
        <w:t>all</w:t>
      </w:r>
      <w:r w:rsidRPr="00EE6CC1">
        <w:rPr>
          <w:rFonts w:cstheme="minorHAnsi"/>
        </w:rPr>
        <w:t xml:space="preserve"> utility service contracts to ensure that they are getting the best rate possible.  </w:t>
      </w:r>
      <w:r>
        <w:rPr>
          <w:rFonts w:cstheme="minorHAnsi"/>
        </w:rPr>
        <w:t>C</w:t>
      </w:r>
      <w:r w:rsidRPr="00EE6CC1">
        <w:rPr>
          <w:rFonts w:cstheme="minorHAnsi"/>
        </w:rPr>
        <w:t xml:space="preserve">ontracts should </w:t>
      </w:r>
      <w:r>
        <w:rPr>
          <w:rFonts w:cstheme="minorHAnsi"/>
        </w:rPr>
        <w:t>utilize</w:t>
      </w:r>
      <w:r w:rsidRPr="00EE6CC1">
        <w:rPr>
          <w:rFonts w:cstheme="minorHAnsi"/>
        </w:rPr>
        <w:t xml:space="preserve"> the best market rate possible</w:t>
      </w:r>
      <w:r>
        <w:t xml:space="preserve"> to achieve sa</w:t>
      </w:r>
      <w:r>
        <w:t>v</w:t>
      </w:r>
      <w:r>
        <w:t xml:space="preserve">ing needed to reach our ten percent savings goal.  </w:t>
      </w:r>
    </w:p>
    <w:p w:rsidR="00FF1DE9" w:rsidRPr="009E3EFE" w:rsidRDefault="00FF1DE9" w:rsidP="000236E4">
      <w:r>
        <w:t>Installations should contact their NAVFAC FEC (Facilities Engineering Command) and UEM (Utilities and Energy Ma</w:t>
      </w:r>
      <w:r>
        <w:t>n</w:t>
      </w:r>
      <w:r>
        <w:t xml:space="preserve">agement) to receive assistance in renegotiating utility contracts for better rates.  </w:t>
      </w:r>
      <w:r w:rsidRPr="009E3EFE">
        <w:t xml:space="preserve">Appendix A </w:t>
      </w:r>
      <w:r>
        <w:t>provides</w:t>
      </w:r>
      <w:r w:rsidRPr="009E3EFE">
        <w:t xml:space="preserve"> a list of UEM and Utilities Acquisition Points of Contact for NAVFAC</w:t>
      </w:r>
      <w:r>
        <w:rPr>
          <w:b/>
        </w:rPr>
        <w:t>.</w:t>
      </w:r>
    </w:p>
    <w:p w:rsidR="00FF1DE9" w:rsidRDefault="00FF1DE9" w:rsidP="00FF1DE9">
      <w:pPr>
        <w:pStyle w:val="Heading2"/>
        <w:numPr>
          <w:ilvl w:val="1"/>
          <w:numId w:val="37"/>
        </w:numPr>
        <w:ind w:left="450" w:hanging="450"/>
      </w:pPr>
      <w:bookmarkStart w:id="23" w:name="_Toc377368178"/>
      <w:bookmarkStart w:id="24" w:name="_Toc385229001"/>
      <w:r>
        <w:t>Industrial Control Systems</w:t>
      </w:r>
      <w:bookmarkEnd w:id="23"/>
      <w:bookmarkEnd w:id="24"/>
    </w:p>
    <w:p w:rsidR="00FF1DE9" w:rsidRDefault="00FF1DE9" w:rsidP="007E24AA">
      <w:pPr>
        <w:pStyle w:val="BodyText"/>
        <w:suppressAutoHyphens w:val="0"/>
      </w:pPr>
      <w:r>
        <w:t>Proper utilization of Industrial Control Systems could be one of the biggest contributors to achieving our utilities saving goals.  Industrial Control System (ICS) is the overarching term that encompasses automated controls and monitoring sy</w:t>
      </w:r>
      <w:r>
        <w:t>s</w:t>
      </w:r>
      <w:r>
        <w:t xml:space="preserve">tems for utilities, and their efficient use within facilities. </w:t>
      </w:r>
    </w:p>
    <w:p w:rsidR="00FF1DE9" w:rsidRDefault="00FF1DE9" w:rsidP="007E24AA">
      <w:pPr>
        <w:pStyle w:val="BodyText"/>
        <w:suppressAutoHyphens w:val="0"/>
      </w:pPr>
      <w:r>
        <w:t>ICS includes the following systems:</w:t>
      </w:r>
    </w:p>
    <w:p w:rsidR="00FF1DE9" w:rsidRDefault="00FF1DE9" w:rsidP="000236E4">
      <w:pPr>
        <w:pStyle w:val="BodyTextIndent2"/>
        <w:numPr>
          <w:ilvl w:val="1"/>
          <w:numId w:val="44"/>
        </w:numPr>
        <w:ind w:left="1080"/>
      </w:pPr>
      <w:r>
        <w:t>Utility Control Systems (UCS), also called Supervisory Control and Data Acquisition (SCADA) systems (and other terms), are used for monitoring, controlling and/or regulating utility systems in real time, and measu</w:t>
      </w:r>
      <w:r>
        <w:t>r</w:t>
      </w:r>
      <w:r>
        <w:t>ing, collecting and analyzing energy usage. These systems are integrated into individual utility plants and are in most cases a component of individual utility facilities. Advanced Metering Infrastructure (AMI) is consi</w:t>
      </w:r>
      <w:r>
        <w:t>d</w:t>
      </w:r>
      <w:r>
        <w:t>ered part of the UCS.</w:t>
      </w:r>
    </w:p>
    <w:p w:rsidR="00F95DB3" w:rsidRDefault="00FF1DE9" w:rsidP="000236E4">
      <w:pPr>
        <w:pStyle w:val="BodyTextIndent3"/>
        <w:numPr>
          <w:ilvl w:val="1"/>
          <w:numId w:val="44"/>
        </w:numPr>
        <w:ind w:left="1080"/>
      </w:pPr>
      <w:r>
        <w:t>Building Control Systems (BCS), also called Direct Digital Control (DDC) systems (and other terms), are used for monitoring, controlling and/or regulating building systems in real time. These components are integrated into building systems such as HVAC, irrigation and lighting, and are also in most cases components of ind</w:t>
      </w:r>
      <w:r>
        <w:t>i</w:t>
      </w:r>
      <w:r>
        <w:t>vidual facility buildings.</w:t>
      </w:r>
    </w:p>
    <w:p w:rsidR="00FF1DE9" w:rsidRDefault="00FF1DE9" w:rsidP="000236E4">
      <w:pPr>
        <w:pStyle w:val="ListParagraph"/>
        <w:numPr>
          <w:ilvl w:val="0"/>
          <w:numId w:val="44"/>
        </w:numPr>
        <w:ind w:left="1080"/>
        <w:jc w:val="both"/>
      </w:pPr>
      <w:r>
        <w:t>Energy Management Control Systems (EMCS are considered part of BCS).</w:t>
      </w:r>
    </w:p>
    <w:p w:rsidR="00FF1DE9" w:rsidRDefault="00FF1DE9" w:rsidP="007E24AA">
      <w:r>
        <w:t>System efficiencies can be achieved with SCADA through the automated reduction of equipment run time during off-peak hours, tighter scheduling, and the reduction of the production of utilities to minimum levels required to support installation operational requirements.</w:t>
      </w:r>
    </w:p>
    <w:p w:rsidR="00FF1DE9" w:rsidRDefault="00FF1DE9" w:rsidP="007E24AA">
      <w:r>
        <w:t>AMI systems can be an important tool in achieving our utilities execution reduction goal.  Supported organizations should be held accountable for excess utility consumption, and required to meet installation set goals of consumption reduction.  AMI allows us to track utility consumption, and hold supported organizations accountable for helping us to reach our reduction goals. AMI could also be effective in the support of the Energy Ethos, educating commands on their utilities consumption, and then setting goals for reduced utility consumption.  Installations should also use AMI systems to verify that utility contract bills are accurate.  Finally, when feasible, installations should use AMI systems to ensure that reimbursable tenants are accurately charged for increased utility consumption, and pay for what they use instead of paying rates based upon estimates for building size or square footage occupied.</w:t>
      </w:r>
    </w:p>
    <w:p w:rsidR="00FF1DE9" w:rsidRDefault="00FF1DE9" w:rsidP="007E24AA">
      <w:r>
        <w:t>Building Control Systems are an important tool in minimizing utility consumption.  Set-points can be adjusted where possible to reduce the energy used by heating and air conditioning systems both seasonally and for demand reduction.  Cooling set-points should be increased in areas where humidity control is not an issue, and for winter operations, set-points can be lowered to reduce heating system loads.  “Rolling” setbacks can be put into effect to manage demand</w:t>
      </w:r>
      <w:r w:rsidR="003576EE">
        <w:t xml:space="preserve"> du</w:t>
      </w:r>
      <w:r w:rsidR="003576EE">
        <w:t>r</w:t>
      </w:r>
      <w:r w:rsidR="003576EE">
        <w:t>ing peak demand periods</w:t>
      </w:r>
      <w:r>
        <w:t xml:space="preserve">.  Schedules for exhaust fans, water heaters, and lighting should be narrowed to minimalize operating times.  And times utilized for occupancy sensors should be reduced where possible.   Building occupants should be encouraged to take notice when BCS systems are not adequately minimizing utilities use, and notify Energy managers of adjustments needed.  </w:t>
      </w:r>
    </w:p>
    <w:p w:rsidR="00FF1DE9" w:rsidRDefault="00FF1DE9" w:rsidP="007E24AA">
      <w:r>
        <w:t>For advanced strategies for ICS, please see the Guidance for Industrial Control System Based Energy Management Stra</w:t>
      </w:r>
      <w:r>
        <w:t>t</w:t>
      </w:r>
      <w:r>
        <w:t>egies to be released by MCICOM in 2014.  This guidance will provide advanced level strategies for the optimization of ICS to reduce energy.</w:t>
      </w:r>
    </w:p>
    <w:p w:rsidR="00FF1DE9" w:rsidRPr="00471947" w:rsidRDefault="00FF1DE9" w:rsidP="00FF1DE9">
      <w:pPr>
        <w:ind w:firstLine="450"/>
      </w:pPr>
      <w:r>
        <w:tab/>
      </w:r>
    </w:p>
    <w:p w:rsidR="00FF1DE9" w:rsidRDefault="00F12036" w:rsidP="00FF1DE9">
      <w:pPr>
        <w:pStyle w:val="Heading2"/>
        <w:numPr>
          <w:ilvl w:val="1"/>
          <w:numId w:val="37"/>
        </w:numPr>
        <w:ind w:left="450" w:hanging="450"/>
      </w:pPr>
      <w:bookmarkStart w:id="25" w:name="_Toc377368179"/>
      <w:r>
        <w:t xml:space="preserve">  </w:t>
      </w:r>
      <w:bookmarkStart w:id="26" w:name="_Toc385229002"/>
      <w:r w:rsidR="00FF1DE9">
        <w:t>Consolidation of Excess facilities</w:t>
      </w:r>
      <w:bookmarkEnd w:id="25"/>
      <w:bookmarkEnd w:id="26"/>
    </w:p>
    <w:p w:rsidR="00FF1DE9" w:rsidRDefault="00FF1DE9" w:rsidP="007E24AA">
      <w:pPr>
        <w:pStyle w:val="BodyTextIndent"/>
        <w:ind w:firstLine="0"/>
      </w:pPr>
      <w:r>
        <w:t>A standard office building will cost about $2 per square foot per year in utilities consumption, thus retaining obsolete or unneeded facilities can lead to added unnecessary utilities fiscal costs.   Consolidation of personnel to new more eff</w:t>
      </w:r>
      <w:r>
        <w:t>i</w:t>
      </w:r>
      <w:r>
        <w:t>cient buildings is a key element in reducing the execution of utilities.  While it is understood that with the current fiscal climate, demolition funding may be limited, installations should consider shuttering or mothballing unused or unneeded buildings to reduce unneeded demand on overall installation utilities consumption.  Priority for demolition or shuttering should be given to buildings with the highest potential for utilities execution savings.</w:t>
      </w:r>
    </w:p>
    <w:p w:rsidR="00CB5CD5" w:rsidRDefault="00CB5CD5" w:rsidP="00FF1DE9">
      <w:pPr>
        <w:ind w:firstLine="450"/>
      </w:pPr>
    </w:p>
    <w:p w:rsidR="00C30057" w:rsidRPr="00C30057" w:rsidRDefault="00F12036" w:rsidP="00303A73">
      <w:pPr>
        <w:pStyle w:val="Heading2"/>
        <w:numPr>
          <w:ilvl w:val="1"/>
          <w:numId w:val="37"/>
        </w:numPr>
        <w:ind w:left="450" w:hanging="450"/>
      </w:pPr>
      <w:r>
        <w:t xml:space="preserve">  </w:t>
      </w:r>
      <w:bookmarkStart w:id="27" w:name="_Toc385229003"/>
      <w:r>
        <w:t xml:space="preserve">Facilities </w:t>
      </w:r>
      <w:r w:rsidR="00CB5CD5">
        <w:t>operation and maintenance</w:t>
      </w:r>
      <w:bookmarkEnd w:id="27"/>
    </w:p>
    <w:p w:rsidR="00FE0AA3" w:rsidRDefault="00FE0AA3" w:rsidP="007E24AA">
      <w:r>
        <w:t xml:space="preserve">As we continue to build and retrofit high performing facilities and utilities infrastructure through the FSRM, MILCON, and EIP programs, we must ensure that they perform at peak efficiency throughout their entire lifecycle. </w:t>
      </w:r>
    </w:p>
    <w:p w:rsidR="00FE0AA3" w:rsidRDefault="00FE0AA3" w:rsidP="007E24AA">
      <w:r>
        <w:t>Operation and sustainment at minimum levels for facilities designed to save energy and utilities is no longer acceptable as a standard practice.  Installation Commanding Officers must take steps to identify industry best practices and training competencies required to provide our facility management professionals with the tools required to keep our facilities operating at peak performance.  Furthermore, resource requirements for these actions must be identified and presen</w:t>
      </w:r>
      <w:r>
        <w:t>t</w:t>
      </w:r>
      <w:r>
        <w:t>ed to the appropriate program managers who will advocate for installations at the Installations PEB or DC M&amp;RA for a</w:t>
      </w:r>
      <w:r>
        <w:t>p</w:t>
      </w:r>
      <w:r>
        <w:t>propriate resourcing decisions.</w:t>
      </w:r>
    </w:p>
    <w:p w:rsidR="00FE0AA3" w:rsidRDefault="00FE0AA3" w:rsidP="007E24AA">
      <w:r>
        <w:t>For new and retrofitted facilities and utilities infrastructure, design and construction requirements shall include prov</w:t>
      </w:r>
      <w:r>
        <w:t>i</w:t>
      </w:r>
      <w:r>
        <w:t xml:space="preserve">sions for commissioning, O&amp;M manuals, and training personnel on peak efficiency operation.  </w:t>
      </w:r>
    </w:p>
    <w:p w:rsidR="00F12036" w:rsidRDefault="00FE0AA3" w:rsidP="007E24AA">
      <w:r>
        <w:t>Separately, the MCICOM GF is developing the required competencies and certifications required for this effort under the Facilities Community of Interest led by Deputy MCICOM.  This will include personnel responsible for facilities planning, Energy Management, Maintenance Control (PM management and project development), facilities design and the facil</w:t>
      </w:r>
      <w:r>
        <w:t>i</w:t>
      </w:r>
      <w:r>
        <w:t>ties maintenance work force.  The facilities maintenance workforce will focus on HVAC, HVAC and lighting controls, building envelope.  MCICOM GF is also developing the competencies and certification requirements for operating and sustaining Heating Plants, Potable Water Treatment Plants and distribution systems and Waste Water Treatment Plants and collection systems.</w:t>
      </w:r>
    </w:p>
    <w:p w:rsidR="00FF1DE9" w:rsidRDefault="00FF1DE9" w:rsidP="00F95DB3">
      <w:pPr>
        <w:pStyle w:val="Heading1"/>
        <w:numPr>
          <w:ilvl w:val="0"/>
          <w:numId w:val="37"/>
        </w:numPr>
        <w:spacing w:before="100" w:beforeAutospacing="1"/>
      </w:pPr>
      <w:bookmarkStart w:id="28" w:name="_Toc377368180"/>
      <w:bookmarkStart w:id="29" w:name="_Toc385229004"/>
      <w:r>
        <w:t>Utilities Execution Reduction Concept of Operations</w:t>
      </w:r>
      <w:bookmarkEnd w:id="28"/>
      <w:bookmarkEnd w:id="29"/>
    </w:p>
    <w:p w:rsidR="003576EE" w:rsidRPr="00471947" w:rsidRDefault="003576EE" w:rsidP="00FF1DE9">
      <w:pPr>
        <w:ind w:firstLine="450"/>
      </w:pPr>
    </w:p>
    <w:p w:rsidR="00FF1DE9" w:rsidRPr="00006CF6" w:rsidRDefault="00FF1DE9" w:rsidP="00FF1DE9">
      <w:pPr>
        <w:pStyle w:val="Heading2"/>
        <w:numPr>
          <w:ilvl w:val="1"/>
          <w:numId w:val="37"/>
        </w:numPr>
        <w:ind w:left="450" w:hanging="450"/>
      </w:pPr>
      <w:r>
        <w:t xml:space="preserve"> </w:t>
      </w:r>
      <w:bookmarkStart w:id="30" w:name="_Toc377368181"/>
      <w:bookmarkStart w:id="31" w:name="_Toc385229005"/>
      <w:r>
        <w:t>Established Baseline for reduction</w:t>
      </w:r>
      <w:bookmarkEnd w:id="30"/>
      <w:bookmarkEnd w:id="31"/>
    </w:p>
    <w:p w:rsidR="00FF1DE9" w:rsidRDefault="00FF1DE9" w:rsidP="007E24AA">
      <w:r>
        <w:t>To achieve a 10% reduction in FY 19 from current estimates, a baseline must be established.</w:t>
      </w:r>
    </w:p>
    <w:p w:rsidR="00FF1DE9" w:rsidRDefault="00FF1DE9" w:rsidP="00FF1DE9">
      <w:r w:rsidRPr="002C2436">
        <w:rPr>
          <w:noProof/>
        </w:rPr>
        <mc:AlternateContent>
          <mc:Choice Requires="wps">
            <w:drawing>
              <wp:anchor distT="0" distB="0" distL="114300" distR="114300" simplePos="0" relativeHeight="251659264" behindDoc="0" locked="0" layoutInCell="1" allowOverlap="1" wp14:anchorId="49DBC9C9" wp14:editId="0FD90189">
                <wp:simplePos x="0" y="0"/>
                <wp:positionH relativeFrom="column">
                  <wp:posOffset>4625464</wp:posOffset>
                </wp:positionH>
                <wp:positionV relativeFrom="paragraph">
                  <wp:posOffset>403761</wp:posOffset>
                </wp:positionV>
                <wp:extent cx="635" cy="545465"/>
                <wp:effectExtent l="133350" t="19050" r="75565" b="45085"/>
                <wp:wrapNone/>
                <wp:docPr id="5" name="Straight Arrow Connector 4"/>
                <wp:cNvGraphicFramePr/>
                <a:graphic xmlns:a="http://schemas.openxmlformats.org/drawingml/2006/main">
                  <a:graphicData uri="http://schemas.microsoft.com/office/word/2010/wordprocessingShape">
                    <wps:wsp>
                      <wps:cNvCnPr/>
                      <wps:spPr bwMode="auto">
                        <a:xfrm>
                          <a:off x="0" y="0"/>
                          <a:ext cx="635" cy="545465"/>
                        </a:xfrm>
                        <a:prstGeom prst="straightConnector1">
                          <a:avLst/>
                        </a:prstGeom>
                        <a:solidFill>
                          <a:schemeClr val="accent1"/>
                        </a:solidFill>
                        <a:ln w="28575" cap="flat" cmpd="sng" algn="ctr">
                          <a:solidFill>
                            <a:schemeClr val="tx1"/>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64.2pt;margin-top:31.8pt;width:.05pt;height:4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" filled="t" fillcolor="#4f81bd [3204]" strokecolor="black [3213]" strokeweight="2.25pt">
                <v:stroke endarrow="open"/>
              </v:shape>
            </w:pict>
          </mc:Fallback>
        </mc:AlternateContent>
      </w:r>
      <w:r w:rsidRPr="002C2436">
        <w:rPr>
          <w:noProof/>
        </w:rPr>
        <mc:AlternateContent>
          <mc:Choice Requires="wps">
            <w:drawing>
              <wp:anchor distT="0" distB="0" distL="114300" distR="114300" simplePos="0" relativeHeight="251660288" behindDoc="0" locked="0" layoutInCell="1" allowOverlap="1" wp14:anchorId="131C8C43" wp14:editId="493D8F40">
                <wp:simplePos x="0" y="0"/>
                <wp:positionH relativeFrom="column">
                  <wp:posOffset>4774466</wp:posOffset>
                </wp:positionH>
                <wp:positionV relativeFrom="paragraph">
                  <wp:posOffset>608198</wp:posOffset>
                </wp:positionV>
                <wp:extent cx="361315" cy="191135"/>
                <wp:effectExtent l="0" t="0" r="0" b="0"/>
                <wp:wrapNone/>
                <wp:docPr id="6" name="TextBox 9"/>
                <wp:cNvGraphicFramePr/>
                <a:graphic xmlns:a="http://schemas.openxmlformats.org/drawingml/2006/main">
                  <a:graphicData uri="http://schemas.microsoft.com/office/word/2010/wordprocessingShape">
                    <wps:wsp>
                      <wps:cNvSpPr txBox="1"/>
                      <wps:spPr>
                        <a:xfrm>
                          <a:off x="0" y="0"/>
                          <a:ext cx="361315" cy="191135"/>
                        </a:xfrm>
                        <a:prstGeom prst="rect">
                          <a:avLst/>
                        </a:prstGeom>
                        <a:noFill/>
                      </wps:spPr>
                      <wps:txbx>
                        <w:txbxContent>
                          <w:p w:rsidR="00FF1DE9" w:rsidRPr="002C2436" w:rsidRDefault="00FF1DE9" w:rsidP="00FF1DE9">
                            <w:pPr>
                              <w:pStyle w:val="NormalWeb"/>
                              <w:spacing w:after="0"/>
                              <w:rPr>
                                <w:sz w:val="16"/>
                                <w:szCs w:val="16"/>
                              </w:rPr>
                            </w:pPr>
                            <w:r w:rsidRPr="002C2436">
                              <w:rPr>
                                <w:rFonts w:asciiTheme="minorHAnsi" w:hAnsi="Calibri" w:cstheme="minorBidi"/>
                                <w:b/>
                                <w:bCs/>
                                <w:color w:val="000000" w:themeColor="text1"/>
                                <w:kern w:val="24"/>
                                <w:sz w:val="16"/>
                                <w:szCs w:val="16"/>
                              </w:rPr>
                              <w:t>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375.95pt;margin-top:47.9pt;width:28.45pt;height:1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" filled="f" stroked="f">
                <v:textbox>
                  <w:txbxContent>
                    <w:p w:rsidR="00FF1DE9" w:rsidRPr="002C2436" w:rsidRDefault="00FF1DE9" w:rsidP="00FF1DE9">
                      <w:pPr>
                        <w:pStyle w:val="NormalWeb"/>
                        <w:spacing w:after="0"/>
                        <w:rPr>
                          <w:sz w:val="16"/>
                          <w:szCs w:val="16"/>
                        </w:rPr>
                      </w:pPr>
                      <w:r w:rsidRPr="002C2436">
                        <w:rPr>
                          <w:rFonts w:asciiTheme="minorHAnsi" w:hAnsi="Calibri" w:cstheme="minorBidi"/>
                          <w:b/>
                          <w:bCs/>
                          <w:color w:val="000000" w:themeColor="text1"/>
                          <w:kern w:val="24"/>
                          <w:sz w:val="16"/>
                          <w:szCs w:val="16"/>
                        </w:rPr>
                        <w:t>10%</w:t>
                      </w:r>
                    </w:p>
                  </w:txbxContent>
                </v:textbox>
              </v:shape>
            </w:pict>
          </mc:Fallback>
        </mc:AlternateContent>
      </w:r>
      <w:r>
        <w:rPr>
          <w:noProof/>
        </w:rPr>
        <w:drawing>
          <wp:inline distT="0" distB="0" distL="0" distR="0" wp14:anchorId="59AD6AD5" wp14:editId="6CE84C63">
            <wp:extent cx="6458792" cy="1780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3612" cy="1785013"/>
                    </a:xfrm>
                    <a:prstGeom prst="rect">
                      <a:avLst/>
                    </a:prstGeom>
                    <a:noFill/>
                  </pic:spPr>
                </pic:pic>
              </a:graphicData>
            </a:graphic>
          </wp:inline>
        </w:drawing>
      </w:r>
    </w:p>
    <w:p w:rsidR="00FF1DE9" w:rsidRPr="00B50454" w:rsidRDefault="00FF1DE9" w:rsidP="00FF1DE9">
      <w:pPr>
        <w:pStyle w:val="Caption"/>
        <w:rPr>
          <w:b w:val="0"/>
        </w:rPr>
      </w:pPr>
      <w:r>
        <w:t xml:space="preserve">Figure </w:t>
      </w:r>
      <w:r w:rsidR="00C959CB">
        <w:fldChar w:fldCharType="begin"/>
      </w:r>
      <w:r w:rsidR="00C959CB">
        <w:instrText xml:space="preserve"> SEQ Figure \* ARABIC </w:instrText>
      </w:r>
      <w:r w:rsidR="00C959CB">
        <w:fldChar w:fldCharType="separate"/>
      </w:r>
      <w:r w:rsidR="003D618F">
        <w:rPr>
          <w:noProof/>
        </w:rPr>
        <w:t>1</w:t>
      </w:r>
      <w:r w:rsidR="00C959CB">
        <w:rPr>
          <w:noProof/>
        </w:rPr>
        <w:fldChar w:fldCharType="end"/>
      </w:r>
      <w:r>
        <w:rPr>
          <w:noProof/>
        </w:rPr>
        <w:t xml:space="preserve"> (</w:t>
      </w:r>
      <w:r>
        <w:rPr>
          <w:b w:val="0"/>
          <w:noProof/>
        </w:rPr>
        <w:t>Graph showing baseline and target for Utilities Execution Reduction)</w:t>
      </w:r>
    </w:p>
    <w:p w:rsidR="00FF1DE9" w:rsidRDefault="00FF1DE9" w:rsidP="00FF1DE9"/>
    <w:p w:rsidR="00FF1DE9" w:rsidRPr="00A65469" w:rsidRDefault="00FF1DE9" w:rsidP="00F95DB3">
      <w:pPr>
        <w:pStyle w:val="ListParagraph"/>
        <w:numPr>
          <w:ilvl w:val="1"/>
          <w:numId w:val="40"/>
        </w:numPr>
        <w:ind w:left="1080"/>
      </w:pPr>
      <w:r w:rsidRPr="00A65469">
        <w:t xml:space="preserve">Trend line “A” (in blue) shows what USMC non-labor utilities </w:t>
      </w:r>
      <w:r>
        <w:t>execution</w:t>
      </w:r>
      <w:r w:rsidRPr="00A65469">
        <w:t xml:space="preserve"> could be with inflation, no energy i</w:t>
      </w:r>
      <w:r w:rsidRPr="00A65469">
        <w:t>n</w:t>
      </w:r>
      <w:r w:rsidRPr="00A65469">
        <w:t xml:space="preserve">vestment savings, and no reduction in utilities consumption or </w:t>
      </w:r>
      <w:r>
        <w:t>execution</w:t>
      </w:r>
      <w:r w:rsidRPr="00A65469">
        <w:t xml:space="preserve"> avoidance.  It is estimated that uti</w:t>
      </w:r>
      <w:r w:rsidRPr="00A65469">
        <w:t>l</w:t>
      </w:r>
      <w:r w:rsidRPr="00A65469">
        <w:t xml:space="preserve">ities </w:t>
      </w:r>
      <w:r>
        <w:t>execution</w:t>
      </w:r>
      <w:r w:rsidRPr="00A65469">
        <w:t xml:space="preserve"> could exceed $2</w:t>
      </w:r>
      <w:r>
        <w:t>40</w:t>
      </w:r>
      <w:r w:rsidRPr="00A65469">
        <w:t xml:space="preserve"> Million by 20</w:t>
      </w:r>
      <w:r>
        <w:t>20</w:t>
      </w:r>
      <w:r w:rsidRPr="00A65469">
        <w:t xml:space="preserve">.  </w:t>
      </w:r>
    </w:p>
    <w:p w:rsidR="00FF1DE9" w:rsidRPr="00F95DB3" w:rsidRDefault="00FF1DE9" w:rsidP="00F95DB3">
      <w:pPr>
        <w:pStyle w:val="ListParagraph"/>
        <w:numPr>
          <w:ilvl w:val="1"/>
          <w:numId w:val="40"/>
        </w:numPr>
        <w:ind w:left="1080"/>
      </w:pPr>
      <w:r w:rsidRPr="00A44530">
        <w:t>Trend line “B”</w:t>
      </w:r>
      <w:r>
        <w:t xml:space="preserve"> (in red) is established using energy investments funded FY13 and before, MILCON energy i</w:t>
      </w:r>
      <w:r>
        <w:t>n</w:t>
      </w:r>
      <w:r>
        <w:t xml:space="preserve">vestments for FY14, Estimated EIP projects for FY14, general inflation, demolition, construction, and </w:t>
      </w:r>
      <w:r w:rsidRPr="00F95DB3">
        <w:t>known rate adjustments.   This baseline will be used to determine the amount required to save 10% by FY20.</w:t>
      </w:r>
    </w:p>
    <w:p w:rsidR="00FF1DE9" w:rsidRPr="00F95DB3" w:rsidRDefault="00FF1DE9" w:rsidP="00F95DB3">
      <w:pPr>
        <w:pStyle w:val="ListParagraph"/>
        <w:numPr>
          <w:ilvl w:val="1"/>
          <w:numId w:val="40"/>
        </w:numPr>
        <w:ind w:left="1080"/>
        <w:rPr>
          <w:b/>
        </w:rPr>
      </w:pPr>
      <w:r w:rsidRPr="00F95DB3">
        <w:t>Trend line “C” (in green) shows utilities execution reduction baseline adjusted for energy projects funds pr</w:t>
      </w:r>
      <w:r w:rsidRPr="00F95DB3">
        <w:t>o</w:t>
      </w:r>
      <w:r w:rsidRPr="00F95DB3">
        <w:t>grammed for FY14-FY17.  All Execution reductions beyond energy investment program savings will be achieved below this baseline.  Additionally, this baseline represents the POM amount for Utilities for FY16 and out.</w:t>
      </w:r>
    </w:p>
    <w:p w:rsidR="00FF1DE9" w:rsidRDefault="00FF1DE9" w:rsidP="00F95DB3">
      <w:pPr>
        <w:pStyle w:val="ListParagraph"/>
        <w:numPr>
          <w:ilvl w:val="1"/>
          <w:numId w:val="40"/>
        </w:numPr>
        <w:ind w:left="1080"/>
      </w:pPr>
      <w:r w:rsidRPr="00A44530">
        <w:t>Trend line “D”</w:t>
      </w:r>
      <w:r>
        <w:t xml:space="preserve"> (in purple) shows utilities reduction target for FY 14 through FY20.  This target is established using programmed energy project money and a standard reduction of .88% per installation, per year, below possible savings from energy projects.  </w:t>
      </w:r>
    </w:p>
    <w:p w:rsidR="00FF1DE9" w:rsidRDefault="00FF1DE9" w:rsidP="00F95DB3">
      <w:pPr>
        <w:pStyle w:val="ListParagraph"/>
        <w:numPr>
          <w:ilvl w:val="1"/>
          <w:numId w:val="40"/>
        </w:numPr>
        <w:ind w:left="1080"/>
      </w:pPr>
      <w:r>
        <w:t>The 10% reduction that is outlined in above figure is established in the overall reduction required to meet saving acquired from all energy projects, and a standard .88% reduction per year in utilities execution.  The final Target estimation of $212M is established by determining the cumulative effect of reducing utilities .88% per year, and the cumulative effect of energy project savings from FY15 through FY20.</w:t>
      </w:r>
    </w:p>
    <w:p w:rsidR="00FF1DE9" w:rsidRDefault="00FF1DE9" w:rsidP="00F95DB3">
      <w:pPr>
        <w:pStyle w:val="Heading2"/>
        <w:numPr>
          <w:ilvl w:val="1"/>
          <w:numId w:val="37"/>
        </w:numPr>
        <w:ind w:left="450" w:hanging="450"/>
      </w:pPr>
      <w:bookmarkStart w:id="32" w:name="_Toc377368182"/>
      <w:bookmarkStart w:id="33" w:name="_Toc385229006"/>
      <w:r>
        <w:t>Estimated reduced baselines for each installation</w:t>
      </w:r>
      <w:bookmarkEnd w:id="32"/>
      <w:bookmarkEnd w:id="33"/>
    </w:p>
    <w:p w:rsidR="00FF1DE9" w:rsidRDefault="00FF1DE9" w:rsidP="007E24AA">
      <w:r>
        <w:t xml:space="preserve">As described in Section 3.1, installations should reduce utilities requirements by approximately .88% per year between FY 15 and FY20.    Figure 2 through 4 is an estimate of each Installation’s reduced requirements from FY14 to FY20 based upon FY13 executions.  This estimate considers inflation rates, energy investment projects, construction, demolition, and the standard reduction required by each installation.   </w:t>
      </w:r>
    </w:p>
    <w:p w:rsidR="00FF1DE9" w:rsidRDefault="00FF1DE9" w:rsidP="007E24AA">
      <w:r>
        <w:t>For FY 15 and 16 (Figure 2), each installation’s requirement prior to reduction is obtained using Energy Investment Pr</w:t>
      </w:r>
      <w:r>
        <w:t>o</w:t>
      </w:r>
      <w:r>
        <w:t>jects that are executed in FY 12 and 13 as well as inflation rates.   The baseline for each installation is established as “FY ## Baseline” column.</w:t>
      </w:r>
    </w:p>
    <w:p w:rsidR="00FF1DE9" w:rsidRDefault="00FF1DE9" w:rsidP="00FF1DE9">
      <w:pPr>
        <w:ind w:firstLine="450"/>
      </w:pPr>
    </w:p>
    <w:p w:rsidR="00FF1DE9" w:rsidRDefault="00FF1DE9" w:rsidP="00FF1DE9">
      <w:pPr>
        <w:keepNext/>
        <w:ind w:firstLine="450"/>
      </w:pPr>
      <w:r w:rsidRPr="00257308">
        <w:rPr>
          <w:noProof/>
        </w:rPr>
        <w:drawing>
          <wp:inline distT="0" distB="0" distL="0" distR="0" wp14:anchorId="26C75818" wp14:editId="488B5A60">
            <wp:extent cx="5943600" cy="300569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05698"/>
                    </a:xfrm>
                    <a:prstGeom prst="rect">
                      <a:avLst/>
                    </a:prstGeom>
                    <a:noFill/>
                    <a:ln>
                      <a:noFill/>
                    </a:ln>
                  </pic:spPr>
                </pic:pic>
              </a:graphicData>
            </a:graphic>
          </wp:inline>
        </w:drawing>
      </w:r>
    </w:p>
    <w:p w:rsidR="00FF1DE9" w:rsidRPr="00B50454" w:rsidRDefault="00FF1DE9" w:rsidP="00FF1DE9">
      <w:pPr>
        <w:pStyle w:val="Caption"/>
        <w:rPr>
          <w:b w:val="0"/>
        </w:rPr>
      </w:pPr>
      <w:r>
        <w:t>Figure 2 (</w:t>
      </w:r>
      <w:r>
        <w:rPr>
          <w:b w:val="0"/>
        </w:rPr>
        <w:t>Installation targets for utilities execution savings for FY 15 and FY 16)</w:t>
      </w:r>
    </w:p>
    <w:p w:rsidR="00FF1DE9" w:rsidRDefault="00FF1DE9" w:rsidP="00FF1DE9">
      <w:pPr>
        <w:spacing w:before="100" w:beforeAutospacing="1" w:after="0" w:line="240" w:lineRule="auto"/>
        <w:jc w:val="both"/>
        <w:rPr>
          <w:rFonts w:ascii="Times New Roman" w:eastAsia="Times New Roman" w:hAnsi="Times New Roman" w:cs="Times New Roman"/>
          <w:b/>
          <w:bCs/>
          <w:sz w:val="24"/>
          <w:szCs w:val="24"/>
        </w:rPr>
      </w:pPr>
      <w:r>
        <w:br w:type="page"/>
      </w:r>
    </w:p>
    <w:p w:rsidR="00FF1DE9" w:rsidRDefault="00FF1DE9" w:rsidP="007E24AA">
      <w:r>
        <w:t xml:space="preserve">For FY 17 through FY20(Fig 3 and 4), each installation is assumed to take an equal share of Energy Investment Program savings, as well as the standard .88% reduction.  The result of standardized reductions is a decrease of 10% for the total requirement of non-labor utility execution in FY 20.  </w:t>
      </w:r>
    </w:p>
    <w:p w:rsidR="00FF1DE9" w:rsidRDefault="00FF1DE9" w:rsidP="00FF1DE9">
      <w:pPr>
        <w:pStyle w:val="Caption"/>
      </w:pPr>
    </w:p>
    <w:p w:rsidR="00FF1DE9" w:rsidRDefault="00FF1DE9" w:rsidP="00FF1DE9">
      <w:pPr>
        <w:keepNext/>
      </w:pPr>
      <w:r w:rsidRPr="00257308">
        <w:rPr>
          <w:noProof/>
        </w:rPr>
        <w:drawing>
          <wp:inline distT="0" distB="0" distL="0" distR="0" wp14:anchorId="2516DD8F" wp14:editId="793E71C4">
            <wp:extent cx="5943600" cy="2219822"/>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19822"/>
                    </a:xfrm>
                    <a:prstGeom prst="rect">
                      <a:avLst/>
                    </a:prstGeom>
                    <a:noFill/>
                    <a:ln>
                      <a:noFill/>
                    </a:ln>
                  </pic:spPr>
                </pic:pic>
              </a:graphicData>
            </a:graphic>
          </wp:inline>
        </w:drawing>
      </w:r>
    </w:p>
    <w:p w:rsidR="00FF1DE9" w:rsidRPr="00DC2DE1" w:rsidRDefault="00FF1DE9" w:rsidP="00FF1DE9">
      <w:pPr>
        <w:pStyle w:val="Caption"/>
      </w:pPr>
      <w:r>
        <w:t>Figure 3 (</w:t>
      </w:r>
      <w:r>
        <w:rPr>
          <w:b w:val="0"/>
        </w:rPr>
        <w:t>Installation targets for Utilities Execution Savings for FY 17 and FY 18)</w:t>
      </w:r>
    </w:p>
    <w:p w:rsidR="00FF1DE9" w:rsidRDefault="00FF1DE9" w:rsidP="00FF1DE9">
      <w:pPr>
        <w:spacing w:before="100" w:beforeAutospacing="1" w:after="0" w:line="240" w:lineRule="auto"/>
        <w:jc w:val="both"/>
      </w:pPr>
    </w:p>
    <w:p w:rsidR="00FF1DE9" w:rsidRDefault="00FF1DE9" w:rsidP="00FF1DE9">
      <w:pPr>
        <w:keepNext/>
      </w:pPr>
      <w:r w:rsidRPr="00257308">
        <w:rPr>
          <w:noProof/>
        </w:rPr>
        <w:drawing>
          <wp:inline distT="0" distB="0" distL="0" distR="0" wp14:anchorId="6B9F5C98" wp14:editId="5BB01EBD">
            <wp:extent cx="5943600" cy="25400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40044"/>
                    </a:xfrm>
                    <a:prstGeom prst="rect">
                      <a:avLst/>
                    </a:prstGeom>
                    <a:noFill/>
                    <a:ln>
                      <a:noFill/>
                    </a:ln>
                  </pic:spPr>
                </pic:pic>
              </a:graphicData>
            </a:graphic>
          </wp:inline>
        </w:drawing>
      </w:r>
    </w:p>
    <w:p w:rsidR="00FF1DE9" w:rsidRDefault="00FF1DE9" w:rsidP="00FF1DE9">
      <w:pPr>
        <w:pStyle w:val="Caption"/>
      </w:pPr>
      <w:r>
        <w:t>Figure 4 (</w:t>
      </w:r>
      <w:r>
        <w:rPr>
          <w:b w:val="0"/>
        </w:rPr>
        <w:t>Installation targets for Utilities Execution Savings for FY 19 and FY 20)</w:t>
      </w:r>
    </w:p>
    <w:p w:rsidR="00FF1DE9" w:rsidRDefault="00FF1DE9" w:rsidP="00FF1DE9"/>
    <w:p w:rsidR="00FF1DE9" w:rsidRDefault="00FF1DE9" w:rsidP="00FF1DE9">
      <w:pPr>
        <w:keepNext/>
      </w:pPr>
      <w:r w:rsidRPr="00257308">
        <w:rPr>
          <w:noProof/>
        </w:rPr>
        <w:drawing>
          <wp:inline distT="0" distB="0" distL="0" distR="0" wp14:anchorId="0E982BAE" wp14:editId="7ED05EB7">
            <wp:extent cx="1840675" cy="1871881"/>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0787" cy="1871995"/>
                    </a:xfrm>
                    <a:prstGeom prst="rect">
                      <a:avLst/>
                    </a:prstGeom>
                    <a:noFill/>
                    <a:ln>
                      <a:noFill/>
                    </a:ln>
                  </pic:spPr>
                </pic:pic>
              </a:graphicData>
            </a:graphic>
          </wp:inline>
        </w:drawing>
      </w:r>
    </w:p>
    <w:p w:rsidR="00FF1DE9" w:rsidRPr="00B50454" w:rsidRDefault="00FF1DE9" w:rsidP="00FF1DE9">
      <w:pPr>
        <w:pStyle w:val="Caption"/>
        <w:rPr>
          <w:b w:val="0"/>
        </w:rPr>
      </w:pPr>
      <w:r>
        <w:t xml:space="preserve">Figure 5 </w:t>
      </w:r>
      <w:r>
        <w:rPr>
          <w:b w:val="0"/>
        </w:rPr>
        <w:t>(Utilities Execution Reduction and Energy Investment estimates)</w:t>
      </w:r>
    </w:p>
    <w:p w:rsidR="00FF1DE9" w:rsidRDefault="00FF1DE9" w:rsidP="00FF1DE9"/>
    <w:p w:rsidR="00FF1DE9" w:rsidRDefault="00FF1DE9" w:rsidP="00FF1DE9">
      <w:pPr>
        <w:pStyle w:val="Heading2"/>
        <w:numPr>
          <w:ilvl w:val="1"/>
          <w:numId w:val="37"/>
        </w:numPr>
        <w:ind w:left="450" w:hanging="450"/>
      </w:pPr>
      <w:bookmarkStart w:id="34" w:name="_Toc377368183"/>
      <w:bookmarkStart w:id="35" w:name="_Toc385229007"/>
      <w:r>
        <w:t>Quarterly utility execution savings report and resetting of baseline</w:t>
      </w:r>
      <w:bookmarkEnd w:id="34"/>
      <w:bookmarkEnd w:id="35"/>
    </w:p>
    <w:p w:rsidR="00FF1DE9" w:rsidRDefault="00FF1DE9" w:rsidP="00FF1DE9"/>
    <w:p w:rsidR="00FF1DE9" w:rsidRPr="00AD048D" w:rsidRDefault="00FF1DE9" w:rsidP="007E24AA">
      <w:r>
        <w:t>Each Quarter, installations will be requested to provide an update to MCICOM GF showing progress towards savings goal, and what programs within the installation will receive saved funds.  Utility execution savings will be tracked and compared to goals outlined in Figures 1 through 5.  Goals will be adjusted yearly based upon results from the annual Utilities Data Call.  Additionally, unforeseen increased utilities execution will be taken into consideration when analyzing yearly data call and quarterly reports.  Baselines will be reset as needed quarterly, and after completion of the annual Utilities Data Call.   Examples of unexpected increases could be: unforeseen rate increases, extremely cold winters or hot summers, increases to installation personnel and utilities consumption, one time operation purchases that are une</w:t>
      </w:r>
      <w:r>
        <w:t>x</w:t>
      </w:r>
      <w:r>
        <w:t>pected i.e. purchase of large amount of chemicals or media required to continue utilities production.  Each report will be tasked via MCATS, and due dates will be established accordingly.  Please see Figure 6 for a completed example of the quarterly utility execution reduction report.</w:t>
      </w:r>
    </w:p>
    <w:p w:rsidR="00FF1DE9" w:rsidRDefault="00FF1DE9" w:rsidP="00FF1DE9">
      <w:r w:rsidRPr="00916CD4">
        <w:rPr>
          <w:noProof/>
        </w:rPr>
        <w:drawing>
          <wp:inline distT="0" distB="0" distL="0" distR="0" wp14:anchorId="1ACE8EA4" wp14:editId="0142DC4F">
            <wp:extent cx="5943600" cy="3251037"/>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251037"/>
                    </a:xfrm>
                    <a:prstGeom prst="rect">
                      <a:avLst/>
                    </a:prstGeom>
                    <a:noFill/>
                    <a:ln>
                      <a:noFill/>
                    </a:ln>
                  </pic:spPr>
                </pic:pic>
              </a:graphicData>
            </a:graphic>
          </wp:inline>
        </w:drawing>
      </w:r>
    </w:p>
    <w:p w:rsidR="00FF1DE9" w:rsidRDefault="00FF1DE9" w:rsidP="00FF1DE9">
      <w:pPr>
        <w:pStyle w:val="Caption"/>
      </w:pPr>
      <w:r>
        <w:t>Figure 6</w:t>
      </w:r>
    </w:p>
    <w:p w:rsidR="00FF1DE9" w:rsidRDefault="00FF1DE9" w:rsidP="00FF1DE9">
      <w:pPr>
        <w:spacing w:before="100" w:beforeAutospacing="1" w:after="0" w:line="240" w:lineRule="auto"/>
        <w:jc w:val="both"/>
      </w:pPr>
      <w:r>
        <w:br w:type="page"/>
      </w:r>
    </w:p>
    <w:p w:rsidR="00FF1DE9" w:rsidRDefault="00FF1DE9" w:rsidP="00FF1DE9">
      <w:pPr>
        <w:pStyle w:val="Heading1"/>
        <w:numPr>
          <w:ilvl w:val="0"/>
          <w:numId w:val="0"/>
        </w:numPr>
      </w:pPr>
      <w:bookmarkStart w:id="36" w:name="_Toc354476609"/>
      <w:bookmarkStart w:id="37" w:name="_Toc377368184"/>
      <w:bookmarkStart w:id="38" w:name="_Toc385229008"/>
      <w:r>
        <w:t xml:space="preserve">APPENDIX A: </w:t>
      </w:r>
      <w:bookmarkEnd w:id="36"/>
      <w:r>
        <w:t>NAVFAC Points of Contact</w:t>
      </w:r>
      <w:bookmarkEnd w:id="37"/>
      <w:bookmarkEnd w:id="38"/>
    </w:p>
    <w:p w:rsidR="00FF1DE9" w:rsidRDefault="00FF1DE9" w:rsidP="00FF1DE9"/>
    <w:p w:rsidR="00FF1DE9" w:rsidRDefault="00FF1DE9" w:rsidP="00FF1DE9"/>
    <w:p w:rsidR="00FF1DE9" w:rsidRDefault="00FF1DE9" w:rsidP="00FF1DE9"/>
    <w:p w:rsidR="00FF1DE9" w:rsidRDefault="00FF1DE9" w:rsidP="00303A73">
      <w:pPr>
        <w:spacing w:before="100" w:beforeAutospacing="1" w:after="0" w:line="240" w:lineRule="auto"/>
        <w:jc w:val="both"/>
      </w:pPr>
      <w:r>
        <w:rPr>
          <w:noProof/>
        </w:rPr>
        <w:drawing>
          <wp:inline distT="0" distB="0" distL="0" distR="0" wp14:anchorId="4DD9E228" wp14:editId="3AC5FE0F">
            <wp:extent cx="5944235" cy="4206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4206875"/>
                    </a:xfrm>
                    <a:prstGeom prst="rect">
                      <a:avLst/>
                    </a:prstGeom>
                    <a:noFill/>
                  </pic:spPr>
                </pic:pic>
              </a:graphicData>
            </a:graphic>
          </wp:inline>
        </w:drawing>
      </w:r>
    </w:p>
    <w:sectPr w:rsidR="00FF1DE9" w:rsidSect="00FF1DE9">
      <w:footerReference w:type="default" r:id="rId28"/>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3D1" w:rsidRDefault="003163D1" w:rsidP="00864E67">
      <w:pPr>
        <w:spacing w:after="0" w:line="240" w:lineRule="auto"/>
      </w:pPr>
      <w:r>
        <w:separator/>
      </w:r>
    </w:p>
  </w:endnote>
  <w:endnote w:type="continuationSeparator" w:id="0">
    <w:p w:rsidR="003163D1" w:rsidRDefault="003163D1" w:rsidP="00864E67">
      <w:pPr>
        <w:spacing w:after="0" w:line="240" w:lineRule="auto"/>
      </w:pPr>
      <w:r>
        <w:continuationSeparator/>
      </w:r>
    </w:p>
  </w:endnote>
  <w:endnote w:type="continuationNotice" w:id="1">
    <w:p w:rsidR="003163D1" w:rsidRDefault="003163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D1" w:rsidRDefault="00D61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3D1" w:rsidRDefault="003163D1">
    <w:pPr>
      <w:pStyle w:val="Footer"/>
      <w:jc w:val="center"/>
    </w:pPr>
  </w:p>
  <w:p w:rsidR="003163D1" w:rsidRDefault="003163D1" w:rsidP="003D49B1">
    <w:pPr>
      <w:pStyle w:val="Footer"/>
      <w:jc w:val="center"/>
      <w:rPr>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D1" w:rsidRDefault="00D615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92996"/>
      <w:docPartObj>
        <w:docPartGallery w:val="Page Numbers (Bottom of Page)"/>
        <w:docPartUnique/>
      </w:docPartObj>
    </w:sdtPr>
    <w:sdtEndPr>
      <w:rPr>
        <w:noProof/>
      </w:rPr>
    </w:sdtEndPr>
    <w:sdtContent>
      <w:p w:rsidR="003163D1" w:rsidRPr="003D49B1" w:rsidRDefault="003163D1" w:rsidP="00561129">
        <w:pPr>
          <w:pStyle w:val="Footer"/>
          <w:jc w:val="center"/>
          <w:rPr>
            <w:b/>
            <w:sz w:val="28"/>
          </w:rPr>
        </w:pPr>
        <w:r w:rsidRPr="003D49B1">
          <w:rPr>
            <w:b/>
            <w:sz w:val="28"/>
          </w:rPr>
          <w:t>UNCLASSIFIED</w:t>
        </w:r>
      </w:p>
      <w:p w:rsidR="00D615D1" w:rsidRDefault="00D615D1" w:rsidP="00D615D1">
        <w:pPr>
          <w:pStyle w:val="Footer"/>
        </w:pPr>
      </w:p>
      <w:p w:rsidR="003163D1" w:rsidRDefault="003163D1" w:rsidP="00561129">
        <w:pPr>
          <w:pStyle w:val="Footer"/>
          <w:jc w:val="center"/>
        </w:pPr>
        <w:r>
          <w:fldChar w:fldCharType="begin"/>
        </w:r>
        <w:r>
          <w:instrText xml:space="preserve"> PAGE   \* MERGEFORMAT </w:instrText>
        </w:r>
        <w:r>
          <w:fldChar w:fldCharType="separate"/>
        </w:r>
        <w:r w:rsidR="00C959CB">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3D1" w:rsidRDefault="003163D1" w:rsidP="00864E67">
      <w:pPr>
        <w:spacing w:after="0" w:line="240" w:lineRule="auto"/>
      </w:pPr>
      <w:r>
        <w:separator/>
      </w:r>
    </w:p>
  </w:footnote>
  <w:footnote w:type="continuationSeparator" w:id="0">
    <w:p w:rsidR="003163D1" w:rsidRDefault="003163D1" w:rsidP="00864E67">
      <w:pPr>
        <w:spacing w:after="0" w:line="240" w:lineRule="auto"/>
      </w:pPr>
      <w:r>
        <w:continuationSeparator/>
      </w:r>
    </w:p>
  </w:footnote>
  <w:footnote w:type="continuationNotice" w:id="1">
    <w:p w:rsidR="003163D1" w:rsidRDefault="003163D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D1" w:rsidRDefault="00D615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D1" w:rsidRDefault="00D615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5D1" w:rsidRDefault="00D615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A70"/>
    <w:multiLevelType w:val="hybridMultilevel"/>
    <w:tmpl w:val="DCA68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F733D"/>
    <w:multiLevelType w:val="hybridMultilevel"/>
    <w:tmpl w:val="830E594E"/>
    <w:lvl w:ilvl="0" w:tplc="04090001">
      <w:start w:val="1"/>
      <w:numFmt w:val="bullet"/>
      <w:lvlText w:val=""/>
      <w:lvlJc w:val="left"/>
      <w:pPr>
        <w:ind w:left="1170" w:hanging="360"/>
      </w:pPr>
      <w:rPr>
        <w:rFonts w:ascii="Symbol" w:hAnsi="Symbol" w:hint="default"/>
      </w:rPr>
    </w:lvl>
    <w:lvl w:ilvl="1" w:tplc="96863D9A">
      <w:numFmt w:val="bullet"/>
      <w:lvlText w:val="•"/>
      <w:lvlJc w:val="left"/>
      <w:pPr>
        <w:ind w:left="1890" w:hanging="360"/>
      </w:pPr>
      <w:rPr>
        <w:rFonts w:ascii="Calibri" w:eastAsiaTheme="minorHAnsi" w:hAnsi="Calibri" w:cs="Calibri"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096C328B"/>
    <w:multiLevelType w:val="hybridMultilevel"/>
    <w:tmpl w:val="AEAA53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C74EB"/>
    <w:multiLevelType w:val="hybridMultilevel"/>
    <w:tmpl w:val="7B7486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051E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965C62"/>
    <w:multiLevelType w:val="hybridMultilevel"/>
    <w:tmpl w:val="B7804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24E6314"/>
    <w:multiLevelType w:val="hybridMultilevel"/>
    <w:tmpl w:val="85B265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2A56DF3"/>
    <w:multiLevelType w:val="multilevel"/>
    <w:tmpl w:val="C044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984E19"/>
    <w:multiLevelType w:val="hybridMultilevel"/>
    <w:tmpl w:val="D8584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B3673"/>
    <w:multiLevelType w:val="hybridMultilevel"/>
    <w:tmpl w:val="1FC2B9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EC5227"/>
    <w:multiLevelType w:val="hybridMultilevel"/>
    <w:tmpl w:val="E7C87F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C6D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0619AC"/>
    <w:multiLevelType w:val="hybridMultilevel"/>
    <w:tmpl w:val="222A0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C149A"/>
    <w:multiLevelType w:val="hybridMultilevel"/>
    <w:tmpl w:val="3628F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0409E7"/>
    <w:multiLevelType w:val="hybridMultilevel"/>
    <w:tmpl w:val="02FCEA06"/>
    <w:lvl w:ilvl="0" w:tplc="D90C2D0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644698"/>
    <w:multiLevelType w:val="multilevel"/>
    <w:tmpl w:val="1DF6E70A"/>
    <w:lvl w:ilvl="0">
      <w:start w:val="1"/>
      <w:numFmt w:val="decimal"/>
      <w:pStyle w:val="Heading1"/>
      <w:lvlText w:val="%1"/>
      <w:lvlJc w:val="left"/>
      <w:pPr>
        <w:ind w:left="432" w:hanging="432"/>
      </w:pPr>
      <w:rPr>
        <w:i w:val="0"/>
        <w:specVanish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3103770D"/>
    <w:multiLevelType w:val="hybridMultilevel"/>
    <w:tmpl w:val="02C6D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C6677"/>
    <w:multiLevelType w:val="hybridMultilevel"/>
    <w:tmpl w:val="E2F67440"/>
    <w:lvl w:ilvl="0" w:tplc="E834D8D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163A62"/>
    <w:multiLevelType w:val="hybridMultilevel"/>
    <w:tmpl w:val="FF12E1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917EBA"/>
    <w:multiLevelType w:val="hybridMultilevel"/>
    <w:tmpl w:val="BCCC5696"/>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D87692"/>
    <w:multiLevelType w:val="hybridMultilevel"/>
    <w:tmpl w:val="2B1E7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2034F4"/>
    <w:multiLevelType w:val="hybridMultilevel"/>
    <w:tmpl w:val="5E740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01060F7"/>
    <w:multiLevelType w:val="hybridMultilevel"/>
    <w:tmpl w:val="BA2490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D03864"/>
    <w:multiLevelType w:val="hybridMultilevel"/>
    <w:tmpl w:val="0F463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6074B"/>
    <w:multiLevelType w:val="hybridMultilevel"/>
    <w:tmpl w:val="9F8E7534"/>
    <w:lvl w:ilvl="0" w:tplc="FB16156E">
      <w:start w:val="3"/>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nsid w:val="45017262"/>
    <w:multiLevelType w:val="hybridMultilevel"/>
    <w:tmpl w:val="CB5AD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6671C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BF077D7"/>
    <w:multiLevelType w:val="hybridMultilevel"/>
    <w:tmpl w:val="AA74D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855BF8"/>
    <w:multiLevelType w:val="hybridMultilevel"/>
    <w:tmpl w:val="146A93B0"/>
    <w:lvl w:ilvl="0" w:tplc="92B22812">
      <w:start w:val="1"/>
      <w:numFmt w:val="upp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58757D"/>
    <w:multiLevelType w:val="multilevel"/>
    <w:tmpl w:val="1CFC5E3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E9952AD"/>
    <w:multiLevelType w:val="hybridMultilevel"/>
    <w:tmpl w:val="937C9C94"/>
    <w:lvl w:ilvl="0" w:tplc="C8A263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B55529"/>
    <w:multiLevelType w:val="hybridMultilevel"/>
    <w:tmpl w:val="B6AC7A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F72192"/>
    <w:multiLevelType w:val="hybridMultilevel"/>
    <w:tmpl w:val="34B200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2A279E"/>
    <w:multiLevelType w:val="hybridMultilevel"/>
    <w:tmpl w:val="24AEA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C31556"/>
    <w:multiLevelType w:val="hybridMultilevel"/>
    <w:tmpl w:val="DF124152"/>
    <w:lvl w:ilvl="0" w:tplc="1762808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CC58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E305A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3"/>
  </w:num>
  <w:num w:numId="3">
    <w:abstractNumId w:val="16"/>
  </w:num>
  <w:num w:numId="4">
    <w:abstractNumId w:val="18"/>
  </w:num>
  <w:num w:numId="5">
    <w:abstractNumId w:val="35"/>
  </w:num>
  <w:num w:numId="6">
    <w:abstractNumId w:val="36"/>
  </w:num>
  <w:num w:numId="7">
    <w:abstractNumId w:val="11"/>
  </w:num>
  <w:num w:numId="8">
    <w:abstractNumId w:val="15"/>
  </w:num>
  <w:num w:numId="9">
    <w:abstractNumId w:val="26"/>
  </w:num>
  <w:num w:numId="10">
    <w:abstractNumId w:val="4"/>
  </w:num>
  <w:num w:numId="11">
    <w:abstractNumId w:val="15"/>
  </w:num>
  <w:num w:numId="12">
    <w:abstractNumId w:val="15"/>
  </w:num>
  <w:num w:numId="13">
    <w:abstractNumId w:val="15"/>
  </w:num>
  <w:num w:numId="14">
    <w:abstractNumId w:val="15"/>
  </w:num>
  <w:num w:numId="15">
    <w:abstractNumId w:val="15"/>
  </w:num>
  <w:num w:numId="16">
    <w:abstractNumId w:val="19"/>
  </w:num>
  <w:num w:numId="17">
    <w:abstractNumId w:val="31"/>
  </w:num>
  <w:num w:numId="18">
    <w:abstractNumId w:val="28"/>
  </w:num>
  <w:num w:numId="19">
    <w:abstractNumId w:val="32"/>
  </w:num>
  <w:num w:numId="20">
    <w:abstractNumId w:val="30"/>
  </w:num>
  <w:num w:numId="21">
    <w:abstractNumId w:val="14"/>
  </w:num>
  <w:num w:numId="22">
    <w:abstractNumId w:val="15"/>
  </w:num>
  <w:num w:numId="23">
    <w:abstractNumId w:val="6"/>
  </w:num>
  <w:num w:numId="24">
    <w:abstractNumId w:val="34"/>
  </w:num>
  <w:num w:numId="25">
    <w:abstractNumId w:val="22"/>
  </w:num>
  <w:num w:numId="26">
    <w:abstractNumId w:val="7"/>
  </w:num>
  <w:num w:numId="27">
    <w:abstractNumId w:val="8"/>
  </w:num>
  <w:num w:numId="28">
    <w:abstractNumId w:val="9"/>
  </w:num>
  <w:num w:numId="29">
    <w:abstractNumId w:val="13"/>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7"/>
  </w:num>
  <w:num w:numId="33">
    <w:abstractNumId w:val="0"/>
  </w:num>
  <w:num w:numId="34">
    <w:abstractNumId w:val="20"/>
  </w:num>
  <w:num w:numId="35">
    <w:abstractNumId w:val="33"/>
  </w:num>
  <w:num w:numId="36">
    <w:abstractNumId w:val="12"/>
  </w:num>
  <w:num w:numId="37">
    <w:abstractNumId w:val="29"/>
  </w:num>
  <w:num w:numId="38">
    <w:abstractNumId w:val="1"/>
  </w:num>
  <w:num w:numId="39">
    <w:abstractNumId w:val="23"/>
  </w:num>
  <w:num w:numId="40">
    <w:abstractNumId w:val="10"/>
  </w:num>
  <w:num w:numId="41">
    <w:abstractNumId w:val="5"/>
  </w:num>
  <w:num w:numId="42">
    <w:abstractNumId w:val="25"/>
  </w:num>
  <w:num w:numId="43">
    <w:abstractNumId w:val="21"/>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autoHyphenation/>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E6"/>
    <w:rsid w:val="00005167"/>
    <w:rsid w:val="000074B6"/>
    <w:rsid w:val="0000786E"/>
    <w:rsid w:val="00010143"/>
    <w:rsid w:val="000103E1"/>
    <w:rsid w:val="00012CE6"/>
    <w:rsid w:val="000205CA"/>
    <w:rsid w:val="00020B70"/>
    <w:rsid w:val="000219FF"/>
    <w:rsid w:val="000236E4"/>
    <w:rsid w:val="00026E8C"/>
    <w:rsid w:val="000273A1"/>
    <w:rsid w:val="00030420"/>
    <w:rsid w:val="00031329"/>
    <w:rsid w:val="00031FB3"/>
    <w:rsid w:val="00034CD9"/>
    <w:rsid w:val="0003559A"/>
    <w:rsid w:val="00035FDF"/>
    <w:rsid w:val="00037277"/>
    <w:rsid w:val="00040888"/>
    <w:rsid w:val="0004357D"/>
    <w:rsid w:val="000448BB"/>
    <w:rsid w:val="00044DB3"/>
    <w:rsid w:val="00053566"/>
    <w:rsid w:val="00053890"/>
    <w:rsid w:val="00055494"/>
    <w:rsid w:val="00056F5D"/>
    <w:rsid w:val="0006057E"/>
    <w:rsid w:val="00064613"/>
    <w:rsid w:val="0006582F"/>
    <w:rsid w:val="00065C8C"/>
    <w:rsid w:val="00066725"/>
    <w:rsid w:val="0006774A"/>
    <w:rsid w:val="00070D56"/>
    <w:rsid w:val="000724C3"/>
    <w:rsid w:val="00072B43"/>
    <w:rsid w:val="00073008"/>
    <w:rsid w:val="00075DAC"/>
    <w:rsid w:val="0008170B"/>
    <w:rsid w:val="00082A5D"/>
    <w:rsid w:val="0008363E"/>
    <w:rsid w:val="0008477B"/>
    <w:rsid w:val="000852D6"/>
    <w:rsid w:val="000865BC"/>
    <w:rsid w:val="00087334"/>
    <w:rsid w:val="00087E3E"/>
    <w:rsid w:val="000967AC"/>
    <w:rsid w:val="000A077C"/>
    <w:rsid w:val="000A09B5"/>
    <w:rsid w:val="000A0C24"/>
    <w:rsid w:val="000A0FBB"/>
    <w:rsid w:val="000A2C7E"/>
    <w:rsid w:val="000A72C6"/>
    <w:rsid w:val="000A7971"/>
    <w:rsid w:val="000B18FA"/>
    <w:rsid w:val="000B2AE6"/>
    <w:rsid w:val="000B3DE9"/>
    <w:rsid w:val="000B6B2F"/>
    <w:rsid w:val="000B7EA0"/>
    <w:rsid w:val="000C0C30"/>
    <w:rsid w:val="000C59D6"/>
    <w:rsid w:val="000C6ED9"/>
    <w:rsid w:val="000D000F"/>
    <w:rsid w:val="000D0AAA"/>
    <w:rsid w:val="000D39F9"/>
    <w:rsid w:val="000D3C30"/>
    <w:rsid w:val="000D7D1B"/>
    <w:rsid w:val="000E4652"/>
    <w:rsid w:val="000E4697"/>
    <w:rsid w:val="000E72D9"/>
    <w:rsid w:val="000F53B7"/>
    <w:rsid w:val="000F5F38"/>
    <w:rsid w:val="000F7C00"/>
    <w:rsid w:val="000F7C2A"/>
    <w:rsid w:val="00102568"/>
    <w:rsid w:val="001069BC"/>
    <w:rsid w:val="00110026"/>
    <w:rsid w:val="001137C3"/>
    <w:rsid w:val="00116CD8"/>
    <w:rsid w:val="00120453"/>
    <w:rsid w:val="00123FE3"/>
    <w:rsid w:val="00127669"/>
    <w:rsid w:val="001278AE"/>
    <w:rsid w:val="00132088"/>
    <w:rsid w:val="001347D3"/>
    <w:rsid w:val="00134EC0"/>
    <w:rsid w:val="00136268"/>
    <w:rsid w:val="0014040A"/>
    <w:rsid w:val="00142A95"/>
    <w:rsid w:val="00144F89"/>
    <w:rsid w:val="00145217"/>
    <w:rsid w:val="00145C3A"/>
    <w:rsid w:val="001504D2"/>
    <w:rsid w:val="00154829"/>
    <w:rsid w:val="001550A3"/>
    <w:rsid w:val="00155B1D"/>
    <w:rsid w:val="00157E7B"/>
    <w:rsid w:val="00160286"/>
    <w:rsid w:val="0016070A"/>
    <w:rsid w:val="00160E27"/>
    <w:rsid w:val="00161F26"/>
    <w:rsid w:val="00165465"/>
    <w:rsid w:val="00167A88"/>
    <w:rsid w:val="00174501"/>
    <w:rsid w:val="0017624C"/>
    <w:rsid w:val="00176675"/>
    <w:rsid w:val="00176B30"/>
    <w:rsid w:val="0017717E"/>
    <w:rsid w:val="00181F74"/>
    <w:rsid w:val="0018578D"/>
    <w:rsid w:val="00186222"/>
    <w:rsid w:val="00186CEA"/>
    <w:rsid w:val="00191EFC"/>
    <w:rsid w:val="001928F1"/>
    <w:rsid w:val="0019511C"/>
    <w:rsid w:val="001A10A2"/>
    <w:rsid w:val="001A2017"/>
    <w:rsid w:val="001A53CA"/>
    <w:rsid w:val="001B228E"/>
    <w:rsid w:val="001B30C8"/>
    <w:rsid w:val="001B3672"/>
    <w:rsid w:val="001B5180"/>
    <w:rsid w:val="001B5B09"/>
    <w:rsid w:val="001B7091"/>
    <w:rsid w:val="001B7939"/>
    <w:rsid w:val="001C1A12"/>
    <w:rsid w:val="001C226B"/>
    <w:rsid w:val="001C25A2"/>
    <w:rsid w:val="001C46D8"/>
    <w:rsid w:val="001D01BC"/>
    <w:rsid w:val="001D0377"/>
    <w:rsid w:val="001D1807"/>
    <w:rsid w:val="001D60EF"/>
    <w:rsid w:val="001D62F6"/>
    <w:rsid w:val="001D6A4B"/>
    <w:rsid w:val="001E08C8"/>
    <w:rsid w:val="001E1A06"/>
    <w:rsid w:val="001E2C1F"/>
    <w:rsid w:val="001E3D46"/>
    <w:rsid w:val="001E3F77"/>
    <w:rsid w:val="001E7F84"/>
    <w:rsid w:val="001F1CB5"/>
    <w:rsid w:val="001F2EF4"/>
    <w:rsid w:val="002016AB"/>
    <w:rsid w:val="00204A3D"/>
    <w:rsid w:val="00206A50"/>
    <w:rsid w:val="00207A56"/>
    <w:rsid w:val="00211CEA"/>
    <w:rsid w:val="002129AD"/>
    <w:rsid w:val="0021520A"/>
    <w:rsid w:val="00220089"/>
    <w:rsid w:val="002210B2"/>
    <w:rsid w:val="00221B94"/>
    <w:rsid w:val="00225004"/>
    <w:rsid w:val="0022548A"/>
    <w:rsid w:val="002301D1"/>
    <w:rsid w:val="00230750"/>
    <w:rsid w:val="00231517"/>
    <w:rsid w:val="002316DC"/>
    <w:rsid w:val="0023354B"/>
    <w:rsid w:val="0023448E"/>
    <w:rsid w:val="0024305D"/>
    <w:rsid w:val="002433E3"/>
    <w:rsid w:val="0024540A"/>
    <w:rsid w:val="0024560F"/>
    <w:rsid w:val="00246282"/>
    <w:rsid w:val="002462F6"/>
    <w:rsid w:val="00250D9C"/>
    <w:rsid w:val="00251C38"/>
    <w:rsid w:val="00253592"/>
    <w:rsid w:val="002546F7"/>
    <w:rsid w:val="00256347"/>
    <w:rsid w:val="002615E9"/>
    <w:rsid w:val="00262DDC"/>
    <w:rsid w:val="0026595D"/>
    <w:rsid w:val="002666B6"/>
    <w:rsid w:val="00266719"/>
    <w:rsid w:val="00266EEB"/>
    <w:rsid w:val="00270B3E"/>
    <w:rsid w:val="002715F7"/>
    <w:rsid w:val="00272056"/>
    <w:rsid w:val="00277437"/>
    <w:rsid w:val="002851C9"/>
    <w:rsid w:val="00287271"/>
    <w:rsid w:val="0028743C"/>
    <w:rsid w:val="00290522"/>
    <w:rsid w:val="00290FE6"/>
    <w:rsid w:val="00291195"/>
    <w:rsid w:val="00292391"/>
    <w:rsid w:val="00292F23"/>
    <w:rsid w:val="002938AA"/>
    <w:rsid w:val="0029562E"/>
    <w:rsid w:val="0029585A"/>
    <w:rsid w:val="00295BA0"/>
    <w:rsid w:val="002A29D1"/>
    <w:rsid w:val="002A2CE7"/>
    <w:rsid w:val="002A4B1C"/>
    <w:rsid w:val="002B0720"/>
    <w:rsid w:val="002B1E3E"/>
    <w:rsid w:val="002B46D1"/>
    <w:rsid w:val="002B4A59"/>
    <w:rsid w:val="002B53AD"/>
    <w:rsid w:val="002B7A09"/>
    <w:rsid w:val="002C180F"/>
    <w:rsid w:val="002C2858"/>
    <w:rsid w:val="002C2ED5"/>
    <w:rsid w:val="002C63FD"/>
    <w:rsid w:val="002D0B22"/>
    <w:rsid w:val="002D30A0"/>
    <w:rsid w:val="002D6F6A"/>
    <w:rsid w:val="002E3DA5"/>
    <w:rsid w:val="002F08BD"/>
    <w:rsid w:val="002F625F"/>
    <w:rsid w:val="002F7B7A"/>
    <w:rsid w:val="003029DE"/>
    <w:rsid w:val="003033FF"/>
    <w:rsid w:val="003039EC"/>
    <w:rsid w:val="00303A73"/>
    <w:rsid w:val="00303A7F"/>
    <w:rsid w:val="0030510A"/>
    <w:rsid w:val="00305C97"/>
    <w:rsid w:val="00312AE0"/>
    <w:rsid w:val="0031317D"/>
    <w:rsid w:val="003163D1"/>
    <w:rsid w:val="00317141"/>
    <w:rsid w:val="003219A8"/>
    <w:rsid w:val="00322167"/>
    <w:rsid w:val="00323B0B"/>
    <w:rsid w:val="00324858"/>
    <w:rsid w:val="00326F77"/>
    <w:rsid w:val="00327CA2"/>
    <w:rsid w:val="003311C2"/>
    <w:rsid w:val="003358EF"/>
    <w:rsid w:val="00337274"/>
    <w:rsid w:val="00341818"/>
    <w:rsid w:val="00341FAC"/>
    <w:rsid w:val="0034390C"/>
    <w:rsid w:val="00343BB8"/>
    <w:rsid w:val="0035231B"/>
    <w:rsid w:val="003546F5"/>
    <w:rsid w:val="00354F37"/>
    <w:rsid w:val="003568FE"/>
    <w:rsid w:val="003575D0"/>
    <w:rsid w:val="003576EE"/>
    <w:rsid w:val="00357F49"/>
    <w:rsid w:val="00360E75"/>
    <w:rsid w:val="00362185"/>
    <w:rsid w:val="00365406"/>
    <w:rsid w:val="00365429"/>
    <w:rsid w:val="00365C2E"/>
    <w:rsid w:val="00371699"/>
    <w:rsid w:val="00372657"/>
    <w:rsid w:val="00373F90"/>
    <w:rsid w:val="00374F42"/>
    <w:rsid w:val="00375C3F"/>
    <w:rsid w:val="00375F02"/>
    <w:rsid w:val="0037777A"/>
    <w:rsid w:val="00381476"/>
    <w:rsid w:val="00384154"/>
    <w:rsid w:val="00384BA5"/>
    <w:rsid w:val="00384C50"/>
    <w:rsid w:val="00387AA4"/>
    <w:rsid w:val="00395179"/>
    <w:rsid w:val="00395B66"/>
    <w:rsid w:val="00396101"/>
    <w:rsid w:val="00396284"/>
    <w:rsid w:val="00397D32"/>
    <w:rsid w:val="003A19C3"/>
    <w:rsid w:val="003A2C99"/>
    <w:rsid w:val="003A34C5"/>
    <w:rsid w:val="003A3C5A"/>
    <w:rsid w:val="003A46AE"/>
    <w:rsid w:val="003A5844"/>
    <w:rsid w:val="003B2FC9"/>
    <w:rsid w:val="003C1514"/>
    <w:rsid w:val="003C5A2B"/>
    <w:rsid w:val="003C5A57"/>
    <w:rsid w:val="003C7323"/>
    <w:rsid w:val="003D1DC0"/>
    <w:rsid w:val="003D2B2E"/>
    <w:rsid w:val="003D4724"/>
    <w:rsid w:val="003D49B1"/>
    <w:rsid w:val="003D618F"/>
    <w:rsid w:val="003E3F01"/>
    <w:rsid w:val="003E5140"/>
    <w:rsid w:val="003E55C5"/>
    <w:rsid w:val="003E7F13"/>
    <w:rsid w:val="003F18EB"/>
    <w:rsid w:val="003F30B5"/>
    <w:rsid w:val="003F3F45"/>
    <w:rsid w:val="003F63E4"/>
    <w:rsid w:val="00403537"/>
    <w:rsid w:val="004054A8"/>
    <w:rsid w:val="00407906"/>
    <w:rsid w:val="004105EE"/>
    <w:rsid w:val="004121F0"/>
    <w:rsid w:val="00413D62"/>
    <w:rsid w:val="00414FE5"/>
    <w:rsid w:val="00415B5B"/>
    <w:rsid w:val="00416947"/>
    <w:rsid w:val="004203FF"/>
    <w:rsid w:val="00420AAC"/>
    <w:rsid w:val="00421712"/>
    <w:rsid w:val="00424C63"/>
    <w:rsid w:val="004264EB"/>
    <w:rsid w:val="00427C37"/>
    <w:rsid w:val="00434AF7"/>
    <w:rsid w:val="00442FA7"/>
    <w:rsid w:val="004540B2"/>
    <w:rsid w:val="00454FB2"/>
    <w:rsid w:val="00462AD5"/>
    <w:rsid w:val="00463E59"/>
    <w:rsid w:val="00464629"/>
    <w:rsid w:val="004653EC"/>
    <w:rsid w:val="0047457C"/>
    <w:rsid w:val="00475A76"/>
    <w:rsid w:val="00484E42"/>
    <w:rsid w:val="004852BF"/>
    <w:rsid w:val="00485E5C"/>
    <w:rsid w:val="00486D7F"/>
    <w:rsid w:val="00487204"/>
    <w:rsid w:val="004902C4"/>
    <w:rsid w:val="00490604"/>
    <w:rsid w:val="004953DD"/>
    <w:rsid w:val="00497ED0"/>
    <w:rsid w:val="004A1793"/>
    <w:rsid w:val="004A2908"/>
    <w:rsid w:val="004A375E"/>
    <w:rsid w:val="004A4931"/>
    <w:rsid w:val="004A7F24"/>
    <w:rsid w:val="004C1D4A"/>
    <w:rsid w:val="004C459A"/>
    <w:rsid w:val="004D390C"/>
    <w:rsid w:val="004D3949"/>
    <w:rsid w:val="004D6597"/>
    <w:rsid w:val="004E152F"/>
    <w:rsid w:val="004E363B"/>
    <w:rsid w:val="004E403A"/>
    <w:rsid w:val="004E5651"/>
    <w:rsid w:val="004E6F47"/>
    <w:rsid w:val="004E731B"/>
    <w:rsid w:val="004F0348"/>
    <w:rsid w:val="004F07B0"/>
    <w:rsid w:val="004F665C"/>
    <w:rsid w:val="004F7F8C"/>
    <w:rsid w:val="00500A7C"/>
    <w:rsid w:val="00501C65"/>
    <w:rsid w:val="0050467F"/>
    <w:rsid w:val="00506A30"/>
    <w:rsid w:val="005171D3"/>
    <w:rsid w:val="005204D8"/>
    <w:rsid w:val="00523DDA"/>
    <w:rsid w:val="00524465"/>
    <w:rsid w:val="00526AFB"/>
    <w:rsid w:val="00526C31"/>
    <w:rsid w:val="005317C5"/>
    <w:rsid w:val="00533D6B"/>
    <w:rsid w:val="005352C9"/>
    <w:rsid w:val="005370A6"/>
    <w:rsid w:val="0054155B"/>
    <w:rsid w:val="00541BE5"/>
    <w:rsid w:val="0054427B"/>
    <w:rsid w:val="00545860"/>
    <w:rsid w:val="0054757A"/>
    <w:rsid w:val="005505A3"/>
    <w:rsid w:val="005516AA"/>
    <w:rsid w:val="00557248"/>
    <w:rsid w:val="00561129"/>
    <w:rsid w:val="0056189F"/>
    <w:rsid w:val="005629AC"/>
    <w:rsid w:val="005640F5"/>
    <w:rsid w:val="00566BD5"/>
    <w:rsid w:val="00570C52"/>
    <w:rsid w:val="0057249A"/>
    <w:rsid w:val="0057440A"/>
    <w:rsid w:val="0057570C"/>
    <w:rsid w:val="005759B7"/>
    <w:rsid w:val="00576D33"/>
    <w:rsid w:val="00577321"/>
    <w:rsid w:val="00581A52"/>
    <w:rsid w:val="00583DB5"/>
    <w:rsid w:val="00591E1D"/>
    <w:rsid w:val="0059505A"/>
    <w:rsid w:val="00595B6C"/>
    <w:rsid w:val="00595F08"/>
    <w:rsid w:val="005979EF"/>
    <w:rsid w:val="005A10EC"/>
    <w:rsid w:val="005A12AF"/>
    <w:rsid w:val="005A1743"/>
    <w:rsid w:val="005A38FA"/>
    <w:rsid w:val="005A465C"/>
    <w:rsid w:val="005A5FBE"/>
    <w:rsid w:val="005A77FD"/>
    <w:rsid w:val="005A7E4A"/>
    <w:rsid w:val="005B23D0"/>
    <w:rsid w:val="005B4C2A"/>
    <w:rsid w:val="005B551A"/>
    <w:rsid w:val="005B55B9"/>
    <w:rsid w:val="005B5DA1"/>
    <w:rsid w:val="005C0159"/>
    <w:rsid w:val="005C13DD"/>
    <w:rsid w:val="005C4780"/>
    <w:rsid w:val="005C510C"/>
    <w:rsid w:val="005C593C"/>
    <w:rsid w:val="005C5EBC"/>
    <w:rsid w:val="005D0B82"/>
    <w:rsid w:val="005D2CC5"/>
    <w:rsid w:val="005D3378"/>
    <w:rsid w:val="005D5D21"/>
    <w:rsid w:val="005D7020"/>
    <w:rsid w:val="005F3F60"/>
    <w:rsid w:val="005F4EB7"/>
    <w:rsid w:val="005F59D9"/>
    <w:rsid w:val="005F5E8B"/>
    <w:rsid w:val="005F747A"/>
    <w:rsid w:val="006040B5"/>
    <w:rsid w:val="006060E4"/>
    <w:rsid w:val="006073FD"/>
    <w:rsid w:val="0061537F"/>
    <w:rsid w:val="006215AF"/>
    <w:rsid w:val="00622D54"/>
    <w:rsid w:val="00623052"/>
    <w:rsid w:val="006264D5"/>
    <w:rsid w:val="00640EBF"/>
    <w:rsid w:val="006410D1"/>
    <w:rsid w:val="0064152D"/>
    <w:rsid w:val="00641D63"/>
    <w:rsid w:val="00644BE2"/>
    <w:rsid w:val="00647640"/>
    <w:rsid w:val="00647960"/>
    <w:rsid w:val="00651ACB"/>
    <w:rsid w:val="00654FCE"/>
    <w:rsid w:val="00655CE4"/>
    <w:rsid w:val="00660328"/>
    <w:rsid w:val="0066107C"/>
    <w:rsid w:val="00661E4F"/>
    <w:rsid w:val="006645CB"/>
    <w:rsid w:val="006675B0"/>
    <w:rsid w:val="00671F97"/>
    <w:rsid w:val="00673AE2"/>
    <w:rsid w:val="00674705"/>
    <w:rsid w:val="00686FA9"/>
    <w:rsid w:val="0068749F"/>
    <w:rsid w:val="00687EED"/>
    <w:rsid w:val="00692DCD"/>
    <w:rsid w:val="00693136"/>
    <w:rsid w:val="00694971"/>
    <w:rsid w:val="00695488"/>
    <w:rsid w:val="006A2DB4"/>
    <w:rsid w:val="006A674D"/>
    <w:rsid w:val="006B59A4"/>
    <w:rsid w:val="006B64A6"/>
    <w:rsid w:val="006C3E26"/>
    <w:rsid w:val="006C426A"/>
    <w:rsid w:val="006C5F19"/>
    <w:rsid w:val="006C77EB"/>
    <w:rsid w:val="006D2658"/>
    <w:rsid w:val="006D2B4B"/>
    <w:rsid w:val="006D45EB"/>
    <w:rsid w:val="006D7D3A"/>
    <w:rsid w:val="006E22F0"/>
    <w:rsid w:val="006E78BB"/>
    <w:rsid w:val="006F4086"/>
    <w:rsid w:val="006F4504"/>
    <w:rsid w:val="00700BD3"/>
    <w:rsid w:val="0071248F"/>
    <w:rsid w:val="00714B93"/>
    <w:rsid w:val="00720113"/>
    <w:rsid w:val="007224C4"/>
    <w:rsid w:val="007228D7"/>
    <w:rsid w:val="00722FD6"/>
    <w:rsid w:val="00724468"/>
    <w:rsid w:val="00735E2E"/>
    <w:rsid w:val="007407A5"/>
    <w:rsid w:val="00745B7E"/>
    <w:rsid w:val="00747419"/>
    <w:rsid w:val="00750460"/>
    <w:rsid w:val="00750D7C"/>
    <w:rsid w:val="0075702A"/>
    <w:rsid w:val="00757048"/>
    <w:rsid w:val="00761E70"/>
    <w:rsid w:val="0076532D"/>
    <w:rsid w:val="007662E9"/>
    <w:rsid w:val="00770BF7"/>
    <w:rsid w:val="0077107C"/>
    <w:rsid w:val="00771508"/>
    <w:rsid w:val="00775A26"/>
    <w:rsid w:val="00782BD0"/>
    <w:rsid w:val="0078346E"/>
    <w:rsid w:val="007838FA"/>
    <w:rsid w:val="00790271"/>
    <w:rsid w:val="00791E49"/>
    <w:rsid w:val="00792E65"/>
    <w:rsid w:val="00793F11"/>
    <w:rsid w:val="007954D9"/>
    <w:rsid w:val="00795CE5"/>
    <w:rsid w:val="00796F9A"/>
    <w:rsid w:val="007A28A6"/>
    <w:rsid w:val="007A623E"/>
    <w:rsid w:val="007B1D35"/>
    <w:rsid w:val="007B4DC6"/>
    <w:rsid w:val="007B7B78"/>
    <w:rsid w:val="007C4252"/>
    <w:rsid w:val="007C5431"/>
    <w:rsid w:val="007C7DE2"/>
    <w:rsid w:val="007D03D3"/>
    <w:rsid w:val="007D0911"/>
    <w:rsid w:val="007D1797"/>
    <w:rsid w:val="007D1A99"/>
    <w:rsid w:val="007D2DD0"/>
    <w:rsid w:val="007D6597"/>
    <w:rsid w:val="007D6934"/>
    <w:rsid w:val="007D6D6A"/>
    <w:rsid w:val="007E034F"/>
    <w:rsid w:val="007E0EF6"/>
    <w:rsid w:val="007E24AA"/>
    <w:rsid w:val="007E318E"/>
    <w:rsid w:val="007E69FC"/>
    <w:rsid w:val="007F113B"/>
    <w:rsid w:val="007F26E0"/>
    <w:rsid w:val="007F7BEF"/>
    <w:rsid w:val="00801BC7"/>
    <w:rsid w:val="008021B9"/>
    <w:rsid w:val="0080441A"/>
    <w:rsid w:val="00805118"/>
    <w:rsid w:val="008052D8"/>
    <w:rsid w:val="008107FA"/>
    <w:rsid w:val="00813DF1"/>
    <w:rsid w:val="008150C8"/>
    <w:rsid w:val="008158CF"/>
    <w:rsid w:val="008169E1"/>
    <w:rsid w:val="00827427"/>
    <w:rsid w:val="00827DCE"/>
    <w:rsid w:val="008304C4"/>
    <w:rsid w:val="00830D09"/>
    <w:rsid w:val="008321D4"/>
    <w:rsid w:val="00832DAB"/>
    <w:rsid w:val="00832EE6"/>
    <w:rsid w:val="0083602E"/>
    <w:rsid w:val="00836F9C"/>
    <w:rsid w:val="00836FF3"/>
    <w:rsid w:val="00840083"/>
    <w:rsid w:val="00840710"/>
    <w:rsid w:val="00842E35"/>
    <w:rsid w:val="00846531"/>
    <w:rsid w:val="008479B3"/>
    <w:rsid w:val="00850DBF"/>
    <w:rsid w:val="0085405D"/>
    <w:rsid w:val="00855444"/>
    <w:rsid w:val="00857639"/>
    <w:rsid w:val="008622E7"/>
    <w:rsid w:val="00863B01"/>
    <w:rsid w:val="00864E67"/>
    <w:rsid w:val="00864EAE"/>
    <w:rsid w:val="008651A6"/>
    <w:rsid w:val="00872CA5"/>
    <w:rsid w:val="00873D77"/>
    <w:rsid w:val="0088063A"/>
    <w:rsid w:val="00880ED3"/>
    <w:rsid w:val="00884188"/>
    <w:rsid w:val="008876C8"/>
    <w:rsid w:val="00890420"/>
    <w:rsid w:val="008946CC"/>
    <w:rsid w:val="008A4341"/>
    <w:rsid w:val="008A450E"/>
    <w:rsid w:val="008C1151"/>
    <w:rsid w:val="008C5AE5"/>
    <w:rsid w:val="008C6043"/>
    <w:rsid w:val="008D257B"/>
    <w:rsid w:val="008D4B77"/>
    <w:rsid w:val="008E54E7"/>
    <w:rsid w:val="008E5BD8"/>
    <w:rsid w:val="008E7B50"/>
    <w:rsid w:val="008E7DCF"/>
    <w:rsid w:val="008F0198"/>
    <w:rsid w:val="008F0581"/>
    <w:rsid w:val="008F07B8"/>
    <w:rsid w:val="008F44FA"/>
    <w:rsid w:val="008F486C"/>
    <w:rsid w:val="008F5005"/>
    <w:rsid w:val="008F5F65"/>
    <w:rsid w:val="008F6BC1"/>
    <w:rsid w:val="00901617"/>
    <w:rsid w:val="00904911"/>
    <w:rsid w:val="0090743D"/>
    <w:rsid w:val="00910AC9"/>
    <w:rsid w:val="00915996"/>
    <w:rsid w:val="009163A2"/>
    <w:rsid w:val="00917346"/>
    <w:rsid w:val="0091763C"/>
    <w:rsid w:val="00923971"/>
    <w:rsid w:val="00923E05"/>
    <w:rsid w:val="00924189"/>
    <w:rsid w:val="00931C4F"/>
    <w:rsid w:val="0093301F"/>
    <w:rsid w:val="00934EBA"/>
    <w:rsid w:val="00935F74"/>
    <w:rsid w:val="0093627E"/>
    <w:rsid w:val="00937895"/>
    <w:rsid w:val="0094101D"/>
    <w:rsid w:val="00941AD3"/>
    <w:rsid w:val="00942739"/>
    <w:rsid w:val="00942F41"/>
    <w:rsid w:val="009437D8"/>
    <w:rsid w:val="00945291"/>
    <w:rsid w:val="00945EAD"/>
    <w:rsid w:val="00947F8F"/>
    <w:rsid w:val="009527BB"/>
    <w:rsid w:val="00953ED9"/>
    <w:rsid w:val="00960761"/>
    <w:rsid w:val="00962FCC"/>
    <w:rsid w:val="00967E2D"/>
    <w:rsid w:val="00973D03"/>
    <w:rsid w:val="00974BFB"/>
    <w:rsid w:val="0097539B"/>
    <w:rsid w:val="00975799"/>
    <w:rsid w:val="009762B6"/>
    <w:rsid w:val="00977258"/>
    <w:rsid w:val="00984B1A"/>
    <w:rsid w:val="0098567B"/>
    <w:rsid w:val="00993356"/>
    <w:rsid w:val="00993ABE"/>
    <w:rsid w:val="00993E0F"/>
    <w:rsid w:val="0099549B"/>
    <w:rsid w:val="009962A3"/>
    <w:rsid w:val="00996AF8"/>
    <w:rsid w:val="009A087F"/>
    <w:rsid w:val="009A19D0"/>
    <w:rsid w:val="009A1CFF"/>
    <w:rsid w:val="009A1E6D"/>
    <w:rsid w:val="009A45FF"/>
    <w:rsid w:val="009A64B8"/>
    <w:rsid w:val="009A7D8A"/>
    <w:rsid w:val="009B30F6"/>
    <w:rsid w:val="009B3308"/>
    <w:rsid w:val="009B588E"/>
    <w:rsid w:val="009B5DFA"/>
    <w:rsid w:val="009B784E"/>
    <w:rsid w:val="009C29BE"/>
    <w:rsid w:val="009C3A41"/>
    <w:rsid w:val="009C7128"/>
    <w:rsid w:val="009D0509"/>
    <w:rsid w:val="009D0C33"/>
    <w:rsid w:val="009D13FD"/>
    <w:rsid w:val="009D4890"/>
    <w:rsid w:val="009D51FC"/>
    <w:rsid w:val="009E1341"/>
    <w:rsid w:val="009E52E7"/>
    <w:rsid w:val="009F287A"/>
    <w:rsid w:val="009F3E9B"/>
    <w:rsid w:val="009F4F43"/>
    <w:rsid w:val="009F76B2"/>
    <w:rsid w:val="00A01371"/>
    <w:rsid w:val="00A102E8"/>
    <w:rsid w:val="00A10927"/>
    <w:rsid w:val="00A15853"/>
    <w:rsid w:val="00A169B5"/>
    <w:rsid w:val="00A22C31"/>
    <w:rsid w:val="00A22E26"/>
    <w:rsid w:val="00A232DD"/>
    <w:rsid w:val="00A23A15"/>
    <w:rsid w:val="00A25332"/>
    <w:rsid w:val="00A260E0"/>
    <w:rsid w:val="00A26450"/>
    <w:rsid w:val="00A342F6"/>
    <w:rsid w:val="00A34A0D"/>
    <w:rsid w:val="00A35355"/>
    <w:rsid w:val="00A37329"/>
    <w:rsid w:val="00A42DA7"/>
    <w:rsid w:val="00A51700"/>
    <w:rsid w:val="00A52BEE"/>
    <w:rsid w:val="00A56939"/>
    <w:rsid w:val="00A56DE5"/>
    <w:rsid w:val="00A5701B"/>
    <w:rsid w:val="00A57E0C"/>
    <w:rsid w:val="00A65B97"/>
    <w:rsid w:val="00A72726"/>
    <w:rsid w:val="00A8038B"/>
    <w:rsid w:val="00A816BB"/>
    <w:rsid w:val="00A85BC8"/>
    <w:rsid w:val="00A85D90"/>
    <w:rsid w:val="00A85F05"/>
    <w:rsid w:val="00A86CEB"/>
    <w:rsid w:val="00A92C43"/>
    <w:rsid w:val="00A92D16"/>
    <w:rsid w:val="00A94FE0"/>
    <w:rsid w:val="00AA3F65"/>
    <w:rsid w:val="00AA7BF1"/>
    <w:rsid w:val="00AB19A2"/>
    <w:rsid w:val="00AB2E07"/>
    <w:rsid w:val="00AB3953"/>
    <w:rsid w:val="00AC229E"/>
    <w:rsid w:val="00AC3798"/>
    <w:rsid w:val="00AC4970"/>
    <w:rsid w:val="00AC4CA7"/>
    <w:rsid w:val="00AC5911"/>
    <w:rsid w:val="00AC70A4"/>
    <w:rsid w:val="00AC71E7"/>
    <w:rsid w:val="00AD4609"/>
    <w:rsid w:val="00AD487C"/>
    <w:rsid w:val="00AE3D0F"/>
    <w:rsid w:val="00AE55C5"/>
    <w:rsid w:val="00AE5943"/>
    <w:rsid w:val="00AE625D"/>
    <w:rsid w:val="00AF45D4"/>
    <w:rsid w:val="00AF52BA"/>
    <w:rsid w:val="00AF644E"/>
    <w:rsid w:val="00AF73C0"/>
    <w:rsid w:val="00AF7B43"/>
    <w:rsid w:val="00B0037A"/>
    <w:rsid w:val="00B05A3C"/>
    <w:rsid w:val="00B0647C"/>
    <w:rsid w:val="00B1481B"/>
    <w:rsid w:val="00B16BC7"/>
    <w:rsid w:val="00B22886"/>
    <w:rsid w:val="00B2300A"/>
    <w:rsid w:val="00B2657E"/>
    <w:rsid w:val="00B26C47"/>
    <w:rsid w:val="00B26C74"/>
    <w:rsid w:val="00B34589"/>
    <w:rsid w:val="00B359A1"/>
    <w:rsid w:val="00B37303"/>
    <w:rsid w:val="00B374A1"/>
    <w:rsid w:val="00B46BFD"/>
    <w:rsid w:val="00B50ECA"/>
    <w:rsid w:val="00B518B9"/>
    <w:rsid w:val="00B51A32"/>
    <w:rsid w:val="00B53FA8"/>
    <w:rsid w:val="00B61841"/>
    <w:rsid w:val="00B646FE"/>
    <w:rsid w:val="00B6494F"/>
    <w:rsid w:val="00B65906"/>
    <w:rsid w:val="00B72413"/>
    <w:rsid w:val="00B743A1"/>
    <w:rsid w:val="00B772C5"/>
    <w:rsid w:val="00B80AE6"/>
    <w:rsid w:val="00B83D52"/>
    <w:rsid w:val="00B856BB"/>
    <w:rsid w:val="00B865AC"/>
    <w:rsid w:val="00B9338F"/>
    <w:rsid w:val="00B96D42"/>
    <w:rsid w:val="00B96F3D"/>
    <w:rsid w:val="00B97716"/>
    <w:rsid w:val="00B97F9C"/>
    <w:rsid w:val="00BA19E6"/>
    <w:rsid w:val="00BA1A19"/>
    <w:rsid w:val="00BA1DE5"/>
    <w:rsid w:val="00BA1E45"/>
    <w:rsid w:val="00BA457D"/>
    <w:rsid w:val="00BB21FA"/>
    <w:rsid w:val="00BB4A73"/>
    <w:rsid w:val="00BB547A"/>
    <w:rsid w:val="00BB74EB"/>
    <w:rsid w:val="00BC0345"/>
    <w:rsid w:val="00BC1B25"/>
    <w:rsid w:val="00BC36C9"/>
    <w:rsid w:val="00BC58E0"/>
    <w:rsid w:val="00BC5CAC"/>
    <w:rsid w:val="00BC79FF"/>
    <w:rsid w:val="00BD6AC3"/>
    <w:rsid w:val="00BE05AB"/>
    <w:rsid w:val="00BE0F1E"/>
    <w:rsid w:val="00BE4416"/>
    <w:rsid w:val="00BE7C7F"/>
    <w:rsid w:val="00BF4140"/>
    <w:rsid w:val="00C00AB0"/>
    <w:rsid w:val="00C03DF4"/>
    <w:rsid w:val="00C11FE5"/>
    <w:rsid w:val="00C137FB"/>
    <w:rsid w:val="00C146B3"/>
    <w:rsid w:val="00C167E0"/>
    <w:rsid w:val="00C20163"/>
    <w:rsid w:val="00C219C3"/>
    <w:rsid w:val="00C240A8"/>
    <w:rsid w:val="00C247BD"/>
    <w:rsid w:val="00C25B31"/>
    <w:rsid w:val="00C25E04"/>
    <w:rsid w:val="00C30057"/>
    <w:rsid w:val="00C30B86"/>
    <w:rsid w:val="00C326A0"/>
    <w:rsid w:val="00C339E3"/>
    <w:rsid w:val="00C43815"/>
    <w:rsid w:val="00C44A49"/>
    <w:rsid w:val="00C469E4"/>
    <w:rsid w:val="00C47E43"/>
    <w:rsid w:val="00C529F0"/>
    <w:rsid w:val="00C52AEE"/>
    <w:rsid w:val="00C53AF4"/>
    <w:rsid w:val="00C561E6"/>
    <w:rsid w:val="00C56482"/>
    <w:rsid w:val="00C57512"/>
    <w:rsid w:val="00C64026"/>
    <w:rsid w:val="00C66F38"/>
    <w:rsid w:val="00C700A9"/>
    <w:rsid w:val="00C708E9"/>
    <w:rsid w:val="00C730C6"/>
    <w:rsid w:val="00C83942"/>
    <w:rsid w:val="00C853F0"/>
    <w:rsid w:val="00C86966"/>
    <w:rsid w:val="00C86A62"/>
    <w:rsid w:val="00C904DF"/>
    <w:rsid w:val="00C9103E"/>
    <w:rsid w:val="00C9283D"/>
    <w:rsid w:val="00C92C38"/>
    <w:rsid w:val="00C93494"/>
    <w:rsid w:val="00C959CB"/>
    <w:rsid w:val="00CA624D"/>
    <w:rsid w:val="00CB5CD5"/>
    <w:rsid w:val="00CC0F4E"/>
    <w:rsid w:val="00CC1E8C"/>
    <w:rsid w:val="00CC328C"/>
    <w:rsid w:val="00CC3C5C"/>
    <w:rsid w:val="00CC4CC5"/>
    <w:rsid w:val="00CC67C5"/>
    <w:rsid w:val="00CD0169"/>
    <w:rsid w:val="00CD4DD2"/>
    <w:rsid w:val="00CD69BD"/>
    <w:rsid w:val="00CE5DCA"/>
    <w:rsid w:val="00CE7897"/>
    <w:rsid w:val="00CF44D0"/>
    <w:rsid w:val="00D004DD"/>
    <w:rsid w:val="00D016C3"/>
    <w:rsid w:val="00D03B5D"/>
    <w:rsid w:val="00D03CCE"/>
    <w:rsid w:val="00D0538E"/>
    <w:rsid w:val="00D15580"/>
    <w:rsid w:val="00D1560B"/>
    <w:rsid w:val="00D157E1"/>
    <w:rsid w:val="00D166C5"/>
    <w:rsid w:val="00D17D3B"/>
    <w:rsid w:val="00D20833"/>
    <w:rsid w:val="00D226B6"/>
    <w:rsid w:val="00D24D32"/>
    <w:rsid w:val="00D27604"/>
    <w:rsid w:val="00D2791D"/>
    <w:rsid w:val="00D3458E"/>
    <w:rsid w:val="00D35430"/>
    <w:rsid w:val="00D35CD1"/>
    <w:rsid w:val="00D41226"/>
    <w:rsid w:val="00D420D5"/>
    <w:rsid w:val="00D429A3"/>
    <w:rsid w:val="00D50251"/>
    <w:rsid w:val="00D5424A"/>
    <w:rsid w:val="00D5492B"/>
    <w:rsid w:val="00D5513C"/>
    <w:rsid w:val="00D57B0C"/>
    <w:rsid w:val="00D615D1"/>
    <w:rsid w:val="00D62127"/>
    <w:rsid w:val="00D6448D"/>
    <w:rsid w:val="00D64DCB"/>
    <w:rsid w:val="00D666C8"/>
    <w:rsid w:val="00D705A2"/>
    <w:rsid w:val="00D72477"/>
    <w:rsid w:val="00D76B73"/>
    <w:rsid w:val="00D820C7"/>
    <w:rsid w:val="00D827A0"/>
    <w:rsid w:val="00D82EC4"/>
    <w:rsid w:val="00D839A6"/>
    <w:rsid w:val="00D8510E"/>
    <w:rsid w:val="00D9051B"/>
    <w:rsid w:val="00D91C07"/>
    <w:rsid w:val="00D925DD"/>
    <w:rsid w:val="00D94820"/>
    <w:rsid w:val="00DA048D"/>
    <w:rsid w:val="00DA1757"/>
    <w:rsid w:val="00DA2EBF"/>
    <w:rsid w:val="00DA3BB4"/>
    <w:rsid w:val="00DA69CB"/>
    <w:rsid w:val="00DA6BB9"/>
    <w:rsid w:val="00DA6F9C"/>
    <w:rsid w:val="00DB274A"/>
    <w:rsid w:val="00DB44E4"/>
    <w:rsid w:val="00DC0244"/>
    <w:rsid w:val="00DC40F9"/>
    <w:rsid w:val="00DC745E"/>
    <w:rsid w:val="00DD06B7"/>
    <w:rsid w:val="00DD4AFD"/>
    <w:rsid w:val="00DD5772"/>
    <w:rsid w:val="00DD7DF5"/>
    <w:rsid w:val="00DE1887"/>
    <w:rsid w:val="00DE5DA0"/>
    <w:rsid w:val="00DE6DE9"/>
    <w:rsid w:val="00DF10DF"/>
    <w:rsid w:val="00DF2492"/>
    <w:rsid w:val="00DF3C5D"/>
    <w:rsid w:val="00DF5933"/>
    <w:rsid w:val="00DF7B9B"/>
    <w:rsid w:val="00DF7EA6"/>
    <w:rsid w:val="00E00498"/>
    <w:rsid w:val="00E0478A"/>
    <w:rsid w:val="00E05630"/>
    <w:rsid w:val="00E11174"/>
    <w:rsid w:val="00E11A34"/>
    <w:rsid w:val="00E221A3"/>
    <w:rsid w:val="00E2425F"/>
    <w:rsid w:val="00E274EB"/>
    <w:rsid w:val="00E35233"/>
    <w:rsid w:val="00E40A20"/>
    <w:rsid w:val="00E46E7C"/>
    <w:rsid w:val="00E476D3"/>
    <w:rsid w:val="00E50EE7"/>
    <w:rsid w:val="00E528C1"/>
    <w:rsid w:val="00E5608D"/>
    <w:rsid w:val="00E57416"/>
    <w:rsid w:val="00E642ED"/>
    <w:rsid w:val="00E64513"/>
    <w:rsid w:val="00E66038"/>
    <w:rsid w:val="00E662AD"/>
    <w:rsid w:val="00E70EE8"/>
    <w:rsid w:val="00E7493A"/>
    <w:rsid w:val="00E77FD3"/>
    <w:rsid w:val="00E8009D"/>
    <w:rsid w:val="00E815C6"/>
    <w:rsid w:val="00E83595"/>
    <w:rsid w:val="00E841EE"/>
    <w:rsid w:val="00E86ECF"/>
    <w:rsid w:val="00E925EF"/>
    <w:rsid w:val="00E9437B"/>
    <w:rsid w:val="00E97309"/>
    <w:rsid w:val="00EA0184"/>
    <w:rsid w:val="00EA68AF"/>
    <w:rsid w:val="00EB019D"/>
    <w:rsid w:val="00EB0524"/>
    <w:rsid w:val="00EB21F9"/>
    <w:rsid w:val="00EC0201"/>
    <w:rsid w:val="00EC5D39"/>
    <w:rsid w:val="00EC7357"/>
    <w:rsid w:val="00ED68EF"/>
    <w:rsid w:val="00EE0735"/>
    <w:rsid w:val="00EE17B2"/>
    <w:rsid w:val="00EE1C9A"/>
    <w:rsid w:val="00EE2F13"/>
    <w:rsid w:val="00EE45BE"/>
    <w:rsid w:val="00EE4D76"/>
    <w:rsid w:val="00EE6CBE"/>
    <w:rsid w:val="00EF05B6"/>
    <w:rsid w:val="00EF088C"/>
    <w:rsid w:val="00EF4472"/>
    <w:rsid w:val="00EF48B9"/>
    <w:rsid w:val="00EF50B9"/>
    <w:rsid w:val="00EF7B94"/>
    <w:rsid w:val="00F004E2"/>
    <w:rsid w:val="00F00FAC"/>
    <w:rsid w:val="00F03E15"/>
    <w:rsid w:val="00F056C5"/>
    <w:rsid w:val="00F05A4D"/>
    <w:rsid w:val="00F06474"/>
    <w:rsid w:val="00F12036"/>
    <w:rsid w:val="00F13EBA"/>
    <w:rsid w:val="00F16987"/>
    <w:rsid w:val="00F16AAE"/>
    <w:rsid w:val="00F2198E"/>
    <w:rsid w:val="00F21F6E"/>
    <w:rsid w:val="00F22729"/>
    <w:rsid w:val="00F236D2"/>
    <w:rsid w:val="00F24FAB"/>
    <w:rsid w:val="00F2543C"/>
    <w:rsid w:val="00F2623D"/>
    <w:rsid w:val="00F312A1"/>
    <w:rsid w:val="00F32A15"/>
    <w:rsid w:val="00F32CF8"/>
    <w:rsid w:val="00F36588"/>
    <w:rsid w:val="00F43283"/>
    <w:rsid w:val="00F44B10"/>
    <w:rsid w:val="00F4609F"/>
    <w:rsid w:val="00F46BA0"/>
    <w:rsid w:val="00F54DE6"/>
    <w:rsid w:val="00F55789"/>
    <w:rsid w:val="00F60608"/>
    <w:rsid w:val="00F6714D"/>
    <w:rsid w:val="00F71976"/>
    <w:rsid w:val="00F721F6"/>
    <w:rsid w:val="00F737AA"/>
    <w:rsid w:val="00F746E8"/>
    <w:rsid w:val="00F75378"/>
    <w:rsid w:val="00F80A5E"/>
    <w:rsid w:val="00F853B8"/>
    <w:rsid w:val="00F86B6F"/>
    <w:rsid w:val="00F94F31"/>
    <w:rsid w:val="00F9513C"/>
    <w:rsid w:val="00F95DB3"/>
    <w:rsid w:val="00F95DDA"/>
    <w:rsid w:val="00F9653A"/>
    <w:rsid w:val="00F978C2"/>
    <w:rsid w:val="00FA0056"/>
    <w:rsid w:val="00FA00FA"/>
    <w:rsid w:val="00FA5438"/>
    <w:rsid w:val="00FA6127"/>
    <w:rsid w:val="00FA6309"/>
    <w:rsid w:val="00FB0D78"/>
    <w:rsid w:val="00FB2539"/>
    <w:rsid w:val="00FB4DAA"/>
    <w:rsid w:val="00FB7F12"/>
    <w:rsid w:val="00FC0434"/>
    <w:rsid w:val="00FC3D40"/>
    <w:rsid w:val="00FC7983"/>
    <w:rsid w:val="00FD3277"/>
    <w:rsid w:val="00FD7410"/>
    <w:rsid w:val="00FE0A8F"/>
    <w:rsid w:val="00FE0AA3"/>
    <w:rsid w:val="00FF1DE9"/>
    <w:rsid w:val="00FF42D5"/>
    <w:rsid w:val="00FF4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5BC8"/>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5BC8"/>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43C"/>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543C"/>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543C"/>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543C"/>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2543C"/>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543C"/>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2543C"/>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8EF"/>
    <w:pPr>
      <w:ind w:left="720"/>
      <w:contextualSpacing/>
    </w:pPr>
  </w:style>
  <w:style w:type="table" w:styleId="TableGrid">
    <w:name w:val="Table Grid"/>
    <w:basedOn w:val="TableNormal"/>
    <w:uiPriority w:val="59"/>
    <w:rsid w:val="005A3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5B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5BC8"/>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C593C"/>
    <w:rPr>
      <w:sz w:val="16"/>
      <w:szCs w:val="16"/>
    </w:rPr>
  </w:style>
  <w:style w:type="paragraph" w:styleId="CommentText">
    <w:name w:val="annotation text"/>
    <w:basedOn w:val="Normal"/>
    <w:link w:val="CommentTextChar"/>
    <w:uiPriority w:val="99"/>
    <w:semiHidden/>
    <w:unhideWhenUsed/>
    <w:rsid w:val="005C593C"/>
    <w:pPr>
      <w:spacing w:line="240" w:lineRule="auto"/>
    </w:pPr>
    <w:rPr>
      <w:sz w:val="20"/>
      <w:szCs w:val="20"/>
    </w:rPr>
  </w:style>
  <w:style w:type="character" w:customStyle="1" w:styleId="CommentTextChar">
    <w:name w:val="Comment Text Char"/>
    <w:basedOn w:val="DefaultParagraphFont"/>
    <w:link w:val="CommentText"/>
    <w:uiPriority w:val="99"/>
    <w:semiHidden/>
    <w:rsid w:val="005C593C"/>
    <w:rPr>
      <w:sz w:val="20"/>
      <w:szCs w:val="20"/>
    </w:rPr>
  </w:style>
  <w:style w:type="paragraph" w:styleId="CommentSubject">
    <w:name w:val="annotation subject"/>
    <w:basedOn w:val="CommentText"/>
    <w:next w:val="CommentText"/>
    <w:link w:val="CommentSubjectChar"/>
    <w:uiPriority w:val="99"/>
    <w:semiHidden/>
    <w:unhideWhenUsed/>
    <w:rsid w:val="005C593C"/>
    <w:rPr>
      <w:b/>
      <w:bCs/>
    </w:rPr>
  </w:style>
  <w:style w:type="character" w:customStyle="1" w:styleId="CommentSubjectChar">
    <w:name w:val="Comment Subject Char"/>
    <w:basedOn w:val="CommentTextChar"/>
    <w:link w:val="CommentSubject"/>
    <w:uiPriority w:val="99"/>
    <w:semiHidden/>
    <w:rsid w:val="005C593C"/>
    <w:rPr>
      <w:b/>
      <w:bCs/>
      <w:sz w:val="20"/>
      <w:szCs w:val="20"/>
    </w:rPr>
  </w:style>
  <w:style w:type="paragraph" w:styleId="BalloonText">
    <w:name w:val="Balloon Text"/>
    <w:basedOn w:val="Normal"/>
    <w:link w:val="BalloonTextChar"/>
    <w:uiPriority w:val="99"/>
    <w:semiHidden/>
    <w:unhideWhenUsed/>
    <w:rsid w:val="005C5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93C"/>
    <w:rPr>
      <w:rFonts w:ascii="Tahoma" w:hAnsi="Tahoma" w:cs="Tahoma"/>
      <w:sz w:val="16"/>
      <w:szCs w:val="16"/>
    </w:rPr>
  </w:style>
  <w:style w:type="character" w:styleId="Hyperlink">
    <w:name w:val="Hyperlink"/>
    <w:basedOn w:val="DefaultParagraphFont"/>
    <w:uiPriority w:val="99"/>
    <w:unhideWhenUsed/>
    <w:rsid w:val="00644BE2"/>
    <w:rPr>
      <w:color w:val="0000FF" w:themeColor="hyperlink"/>
      <w:u w:val="single"/>
    </w:rPr>
  </w:style>
  <w:style w:type="paragraph" w:styleId="Title">
    <w:name w:val="Title"/>
    <w:basedOn w:val="Normal"/>
    <w:next w:val="Normal"/>
    <w:link w:val="TitleChar"/>
    <w:uiPriority w:val="10"/>
    <w:qFormat/>
    <w:rsid w:val="00591E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1E1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864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67"/>
  </w:style>
  <w:style w:type="paragraph" w:styleId="Footer">
    <w:name w:val="footer"/>
    <w:basedOn w:val="Normal"/>
    <w:link w:val="FooterChar"/>
    <w:uiPriority w:val="99"/>
    <w:unhideWhenUsed/>
    <w:rsid w:val="00864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67"/>
  </w:style>
  <w:style w:type="paragraph" w:styleId="TOCHeading">
    <w:name w:val="TOC Heading"/>
    <w:basedOn w:val="Heading1"/>
    <w:next w:val="Normal"/>
    <w:uiPriority w:val="39"/>
    <w:unhideWhenUsed/>
    <w:qFormat/>
    <w:rsid w:val="00500A7C"/>
    <w:pPr>
      <w:outlineLvl w:val="9"/>
    </w:pPr>
    <w:rPr>
      <w:lang w:eastAsia="ja-JP"/>
    </w:rPr>
  </w:style>
  <w:style w:type="paragraph" w:styleId="TOC1">
    <w:name w:val="toc 1"/>
    <w:basedOn w:val="Normal"/>
    <w:next w:val="Normal"/>
    <w:autoRedefine/>
    <w:uiPriority w:val="39"/>
    <w:unhideWhenUsed/>
    <w:rsid w:val="00500A7C"/>
    <w:pPr>
      <w:spacing w:after="100"/>
    </w:pPr>
  </w:style>
  <w:style w:type="paragraph" w:styleId="TOC2">
    <w:name w:val="toc 2"/>
    <w:basedOn w:val="Normal"/>
    <w:next w:val="Normal"/>
    <w:autoRedefine/>
    <w:uiPriority w:val="39"/>
    <w:unhideWhenUsed/>
    <w:rsid w:val="00500A7C"/>
    <w:pPr>
      <w:spacing w:after="100"/>
      <w:ind w:left="220"/>
    </w:pPr>
  </w:style>
  <w:style w:type="paragraph" w:customStyle="1" w:styleId="TableText">
    <w:name w:val="Table Text"/>
    <w:basedOn w:val="Normal"/>
    <w:link w:val="TableTextChar"/>
    <w:rsid w:val="004E6F47"/>
    <w:pPr>
      <w:spacing w:before="20" w:after="20" w:line="240" w:lineRule="auto"/>
    </w:pPr>
    <w:rPr>
      <w:rFonts w:ascii="Arial" w:eastAsia="Times New Roman" w:hAnsi="Arial" w:cs="Times New Roman"/>
      <w:sz w:val="18"/>
      <w:szCs w:val="20"/>
    </w:rPr>
  </w:style>
  <w:style w:type="paragraph" w:customStyle="1" w:styleId="TableHeader">
    <w:name w:val="Table Header"/>
    <w:basedOn w:val="TableText"/>
    <w:rsid w:val="004E6F47"/>
    <w:pPr>
      <w:jc w:val="center"/>
    </w:pPr>
    <w:rPr>
      <w:b/>
    </w:rPr>
  </w:style>
  <w:style w:type="character" w:customStyle="1" w:styleId="TableTextChar">
    <w:name w:val="Table Text Char"/>
    <w:link w:val="TableText"/>
    <w:rsid w:val="004E6F47"/>
    <w:rPr>
      <w:rFonts w:ascii="Arial" w:eastAsia="Times New Roman" w:hAnsi="Arial" w:cs="Times New Roman"/>
      <w:sz w:val="18"/>
      <w:szCs w:val="20"/>
    </w:rPr>
  </w:style>
  <w:style w:type="character" w:customStyle="1" w:styleId="Heading3Char">
    <w:name w:val="Heading 3 Char"/>
    <w:basedOn w:val="DefaultParagraphFont"/>
    <w:link w:val="Heading3"/>
    <w:uiPriority w:val="9"/>
    <w:rsid w:val="00F254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54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54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254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254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254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2543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1928F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129AD"/>
    <w:pPr>
      <w:spacing w:after="0"/>
    </w:pPr>
  </w:style>
  <w:style w:type="paragraph" w:styleId="TOC3">
    <w:name w:val="toc 3"/>
    <w:basedOn w:val="Normal"/>
    <w:next w:val="Normal"/>
    <w:autoRedefine/>
    <w:uiPriority w:val="39"/>
    <w:unhideWhenUsed/>
    <w:rsid w:val="000967AC"/>
    <w:pPr>
      <w:spacing w:after="100"/>
      <w:ind w:left="440"/>
    </w:pPr>
  </w:style>
  <w:style w:type="paragraph" w:styleId="FootnoteText">
    <w:name w:val="footnote text"/>
    <w:basedOn w:val="Normal"/>
    <w:link w:val="FootnoteTextChar"/>
    <w:uiPriority w:val="99"/>
    <w:semiHidden/>
    <w:unhideWhenUsed/>
    <w:rsid w:val="00354F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F37"/>
    <w:rPr>
      <w:sz w:val="20"/>
      <w:szCs w:val="20"/>
    </w:rPr>
  </w:style>
  <w:style w:type="character" w:styleId="FootnoteReference">
    <w:name w:val="footnote reference"/>
    <w:basedOn w:val="DefaultParagraphFont"/>
    <w:uiPriority w:val="99"/>
    <w:semiHidden/>
    <w:unhideWhenUsed/>
    <w:rsid w:val="00354F37"/>
    <w:rPr>
      <w:vertAlign w:val="superscript"/>
    </w:rPr>
  </w:style>
  <w:style w:type="paragraph" w:styleId="DocumentMap">
    <w:name w:val="Document Map"/>
    <w:basedOn w:val="Normal"/>
    <w:link w:val="DocumentMapChar"/>
    <w:uiPriority w:val="99"/>
    <w:semiHidden/>
    <w:unhideWhenUsed/>
    <w:rsid w:val="002200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0089"/>
    <w:rPr>
      <w:rFonts w:ascii="Tahoma" w:hAnsi="Tahoma" w:cs="Tahoma"/>
      <w:sz w:val="16"/>
      <w:szCs w:val="16"/>
    </w:rPr>
  </w:style>
  <w:style w:type="paragraph" w:styleId="NoSpacing">
    <w:name w:val="No Spacing"/>
    <w:uiPriority w:val="1"/>
    <w:qFormat/>
    <w:rsid w:val="008F5F65"/>
    <w:pPr>
      <w:spacing w:after="0" w:line="240" w:lineRule="auto"/>
    </w:pPr>
  </w:style>
  <w:style w:type="character" w:styleId="Emphasis">
    <w:name w:val="Emphasis"/>
    <w:basedOn w:val="DefaultParagraphFont"/>
    <w:uiPriority w:val="20"/>
    <w:qFormat/>
    <w:rsid w:val="005A465C"/>
    <w:rPr>
      <w:i/>
      <w:iCs/>
    </w:rPr>
  </w:style>
  <w:style w:type="paragraph" w:styleId="NormalWeb">
    <w:name w:val="Normal (Web)"/>
    <w:basedOn w:val="Normal"/>
    <w:uiPriority w:val="99"/>
    <w:unhideWhenUsed/>
    <w:rsid w:val="00DE6DE9"/>
    <w:pPr>
      <w:spacing w:after="75" w:line="240" w:lineRule="auto"/>
    </w:pPr>
    <w:rPr>
      <w:rFonts w:ascii="Times New Roman" w:eastAsia="Times New Roman" w:hAnsi="Times New Roman" w:cs="Times New Roman"/>
      <w:sz w:val="24"/>
      <w:szCs w:val="24"/>
    </w:rPr>
  </w:style>
  <w:style w:type="paragraph" w:styleId="Revision">
    <w:name w:val="Revision"/>
    <w:hidden/>
    <w:uiPriority w:val="99"/>
    <w:semiHidden/>
    <w:rsid w:val="003311C2"/>
    <w:pPr>
      <w:spacing w:after="0" w:line="240" w:lineRule="auto"/>
    </w:pPr>
  </w:style>
  <w:style w:type="paragraph" w:styleId="BodyText">
    <w:name w:val="Body Text"/>
    <w:basedOn w:val="Normal"/>
    <w:link w:val="BodyTextChar"/>
    <w:uiPriority w:val="99"/>
    <w:unhideWhenUsed/>
    <w:rsid w:val="00303A73"/>
    <w:pPr>
      <w:suppressAutoHyphens/>
      <w:jc w:val="both"/>
    </w:pPr>
  </w:style>
  <w:style w:type="character" w:customStyle="1" w:styleId="BodyTextChar">
    <w:name w:val="Body Text Char"/>
    <w:basedOn w:val="DefaultParagraphFont"/>
    <w:link w:val="BodyText"/>
    <w:uiPriority w:val="99"/>
    <w:rsid w:val="00303A73"/>
  </w:style>
  <w:style w:type="paragraph" w:styleId="BodyTextIndent">
    <w:name w:val="Body Text Indent"/>
    <w:basedOn w:val="Normal"/>
    <w:link w:val="BodyTextIndentChar"/>
    <w:uiPriority w:val="99"/>
    <w:unhideWhenUsed/>
    <w:rsid w:val="00303A73"/>
    <w:pPr>
      <w:ind w:firstLine="450"/>
    </w:pPr>
  </w:style>
  <w:style w:type="character" w:customStyle="1" w:styleId="BodyTextIndentChar">
    <w:name w:val="Body Text Indent Char"/>
    <w:basedOn w:val="DefaultParagraphFont"/>
    <w:link w:val="BodyTextIndent"/>
    <w:uiPriority w:val="99"/>
    <w:rsid w:val="00303A73"/>
  </w:style>
  <w:style w:type="paragraph" w:styleId="BodyText2">
    <w:name w:val="Body Text 2"/>
    <w:basedOn w:val="Normal"/>
    <w:link w:val="BodyText2Char"/>
    <w:uiPriority w:val="99"/>
    <w:unhideWhenUsed/>
    <w:rsid w:val="007E24AA"/>
    <w:rPr>
      <w:rFonts w:cstheme="minorHAnsi"/>
      <w:color w:val="000000"/>
    </w:rPr>
  </w:style>
  <w:style w:type="character" w:customStyle="1" w:styleId="BodyText2Char">
    <w:name w:val="Body Text 2 Char"/>
    <w:basedOn w:val="DefaultParagraphFont"/>
    <w:link w:val="BodyText2"/>
    <w:uiPriority w:val="99"/>
    <w:rsid w:val="007E24AA"/>
    <w:rPr>
      <w:rFonts w:cstheme="minorHAnsi"/>
      <w:color w:val="000000"/>
    </w:rPr>
  </w:style>
  <w:style w:type="paragraph" w:styleId="BodyTextIndent2">
    <w:name w:val="Body Text Indent 2"/>
    <w:basedOn w:val="Normal"/>
    <w:link w:val="BodyTextIndent2Char"/>
    <w:uiPriority w:val="99"/>
    <w:unhideWhenUsed/>
    <w:rsid w:val="00F95DB3"/>
    <w:pPr>
      <w:ind w:left="1080" w:hanging="360"/>
      <w:jc w:val="both"/>
    </w:pPr>
  </w:style>
  <w:style w:type="character" w:customStyle="1" w:styleId="BodyTextIndent2Char">
    <w:name w:val="Body Text Indent 2 Char"/>
    <w:basedOn w:val="DefaultParagraphFont"/>
    <w:link w:val="BodyTextIndent2"/>
    <w:uiPriority w:val="99"/>
    <w:rsid w:val="00F95DB3"/>
  </w:style>
  <w:style w:type="paragraph" w:styleId="BodyTextIndent3">
    <w:name w:val="Body Text Indent 3"/>
    <w:basedOn w:val="Normal"/>
    <w:link w:val="BodyTextIndent3Char"/>
    <w:uiPriority w:val="99"/>
    <w:unhideWhenUsed/>
    <w:rsid w:val="00F95DB3"/>
    <w:pPr>
      <w:ind w:left="720"/>
      <w:jc w:val="both"/>
    </w:pPr>
  </w:style>
  <w:style w:type="character" w:customStyle="1" w:styleId="BodyTextIndent3Char">
    <w:name w:val="Body Text Indent 3 Char"/>
    <w:basedOn w:val="DefaultParagraphFont"/>
    <w:link w:val="BodyTextIndent3"/>
    <w:uiPriority w:val="99"/>
    <w:rsid w:val="00F95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5BC8"/>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5BC8"/>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543C"/>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2543C"/>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2543C"/>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543C"/>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2543C"/>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2543C"/>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2543C"/>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8EF"/>
    <w:pPr>
      <w:ind w:left="720"/>
      <w:contextualSpacing/>
    </w:pPr>
  </w:style>
  <w:style w:type="table" w:styleId="TableGrid">
    <w:name w:val="Table Grid"/>
    <w:basedOn w:val="TableNormal"/>
    <w:uiPriority w:val="59"/>
    <w:rsid w:val="005A3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5B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85BC8"/>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5C593C"/>
    <w:rPr>
      <w:sz w:val="16"/>
      <w:szCs w:val="16"/>
    </w:rPr>
  </w:style>
  <w:style w:type="paragraph" w:styleId="CommentText">
    <w:name w:val="annotation text"/>
    <w:basedOn w:val="Normal"/>
    <w:link w:val="CommentTextChar"/>
    <w:uiPriority w:val="99"/>
    <w:semiHidden/>
    <w:unhideWhenUsed/>
    <w:rsid w:val="005C593C"/>
    <w:pPr>
      <w:spacing w:line="240" w:lineRule="auto"/>
    </w:pPr>
    <w:rPr>
      <w:sz w:val="20"/>
      <w:szCs w:val="20"/>
    </w:rPr>
  </w:style>
  <w:style w:type="character" w:customStyle="1" w:styleId="CommentTextChar">
    <w:name w:val="Comment Text Char"/>
    <w:basedOn w:val="DefaultParagraphFont"/>
    <w:link w:val="CommentText"/>
    <w:uiPriority w:val="99"/>
    <w:semiHidden/>
    <w:rsid w:val="005C593C"/>
    <w:rPr>
      <w:sz w:val="20"/>
      <w:szCs w:val="20"/>
    </w:rPr>
  </w:style>
  <w:style w:type="paragraph" w:styleId="CommentSubject">
    <w:name w:val="annotation subject"/>
    <w:basedOn w:val="CommentText"/>
    <w:next w:val="CommentText"/>
    <w:link w:val="CommentSubjectChar"/>
    <w:uiPriority w:val="99"/>
    <w:semiHidden/>
    <w:unhideWhenUsed/>
    <w:rsid w:val="005C593C"/>
    <w:rPr>
      <w:b/>
      <w:bCs/>
    </w:rPr>
  </w:style>
  <w:style w:type="character" w:customStyle="1" w:styleId="CommentSubjectChar">
    <w:name w:val="Comment Subject Char"/>
    <w:basedOn w:val="CommentTextChar"/>
    <w:link w:val="CommentSubject"/>
    <w:uiPriority w:val="99"/>
    <w:semiHidden/>
    <w:rsid w:val="005C593C"/>
    <w:rPr>
      <w:b/>
      <w:bCs/>
      <w:sz w:val="20"/>
      <w:szCs w:val="20"/>
    </w:rPr>
  </w:style>
  <w:style w:type="paragraph" w:styleId="BalloonText">
    <w:name w:val="Balloon Text"/>
    <w:basedOn w:val="Normal"/>
    <w:link w:val="BalloonTextChar"/>
    <w:uiPriority w:val="99"/>
    <w:semiHidden/>
    <w:unhideWhenUsed/>
    <w:rsid w:val="005C59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93C"/>
    <w:rPr>
      <w:rFonts w:ascii="Tahoma" w:hAnsi="Tahoma" w:cs="Tahoma"/>
      <w:sz w:val="16"/>
      <w:szCs w:val="16"/>
    </w:rPr>
  </w:style>
  <w:style w:type="character" w:styleId="Hyperlink">
    <w:name w:val="Hyperlink"/>
    <w:basedOn w:val="DefaultParagraphFont"/>
    <w:uiPriority w:val="99"/>
    <w:unhideWhenUsed/>
    <w:rsid w:val="00644BE2"/>
    <w:rPr>
      <w:color w:val="0000FF" w:themeColor="hyperlink"/>
      <w:u w:val="single"/>
    </w:rPr>
  </w:style>
  <w:style w:type="paragraph" w:styleId="Title">
    <w:name w:val="Title"/>
    <w:basedOn w:val="Normal"/>
    <w:next w:val="Normal"/>
    <w:link w:val="TitleChar"/>
    <w:uiPriority w:val="10"/>
    <w:qFormat/>
    <w:rsid w:val="00591E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1E1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864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67"/>
  </w:style>
  <w:style w:type="paragraph" w:styleId="Footer">
    <w:name w:val="footer"/>
    <w:basedOn w:val="Normal"/>
    <w:link w:val="FooterChar"/>
    <w:uiPriority w:val="99"/>
    <w:unhideWhenUsed/>
    <w:rsid w:val="00864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67"/>
  </w:style>
  <w:style w:type="paragraph" w:styleId="TOCHeading">
    <w:name w:val="TOC Heading"/>
    <w:basedOn w:val="Heading1"/>
    <w:next w:val="Normal"/>
    <w:uiPriority w:val="39"/>
    <w:unhideWhenUsed/>
    <w:qFormat/>
    <w:rsid w:val="00500A7C"/>
    <w:pPr>
      <w:outlineLvl w:val="9"/>
    </w:pPr>
    <w:rPr>
      <w:lang w:eastAsia="ja-JP"/>
    </w:rPr>
  </w:style>
  <w:style w:type="paragraph" w:styleId="TOC1">
    <w:name w:val="toc 1"/>
    <w:basedOn w:val="Normal"/>
    <w:next w:val="Normal"/>
    <w:autoRedefine/>
    <w:uiPriority w:val="39"/>
    <w:unhideWhenUsed/>
    <w:rsid w:val="00500A7C"/>
    <w:pPr>
      <w:spacing w:after="100"/>
    </w:pPr>
  </w:style>
  <w:style w:type="paragraph" w:styleId="TOC2">
    <w:name w:val="toc 2"/>
    <w:basedOn w:val="Normal"/>
    <w:next w:val="Normal"/>
    <w:autoRedefine/>
    <w:uiPriority w:val="39"/>
    <w:unhideWhenUsed/>
    <w:rsid w:val="00500A7C"/>
    <w:pPr>
      <w:spacing w:after="100"/>
      <w:ind w:left="220"/>
    </w:pPr>
  </w:style>
  <w:style w:type="paragraph" w:customStyle="1" w:styleId="TableText">
    <w:name w:val="Table Text"/>
    <w:basedOn w:val="Normal"/>
    <w:link w:val="TableTextChar"/>
    <w:rsid w:val="004E6F47"/>
    <w:pPr>
      <w:spacing w:before="20" w:after="20" w:line="240" w:lineRule="auto"/>
    </w:pPr>
    <w:rPr>
      <w:rFonts w:ascii="Arial" w:eastAsia="Times New Roman" w:hAnsi="Arial" w:cs="Times New Roman"/>
      <w:sz w:val="18"/>
      <w:szCs w:val="20"/>
    </w:rPr>
  </w:style>
  <w:style w:type="paragraph" w:customStyle="1" w:styleId="TableHeader">
    <w:name w:val="Table Header"/>
    <w:basedOn w:val="TableText"/>
    <w:rsid w:val="004E6F47"/>
    <w:pPr>
      <w:jc w:val="center"/>
    </w:pPr>
    <w:rPr>
      <w:b/>
    </w:rPr>
  </w:style>
  <w:style w:type="character" w:customStyle="1" w:styleId="TableTextChar">
    <w:name w:val="Table Text Char"/>
    <w:link w:val="TableText"/>
    <w:rsid w:val="004E6F47"/>
    <w:rPr>
      <w:rFonts w:ascii="Arial" w:eastAsia="Times New Roman" w:hAnsi="Arial" w:cs="Times New Roman"/>
      <w:sz w:val="18"/>
      <w:szCs w:val="20"/>
    </w:rPr>
  </w:style>
  <w:style w:type="character" w:customStyle="1" w:styleId="Heading3Char">
    <w:name w:val="Heading 3 Char"/>
    <w:basedOn w:val="DefaultParagraphFont"/>
    <w:link w:val="Heading3"/>
    <w:uiPriority w:val="9"/>
    <w:rsid w:val="00F254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254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54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254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254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254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2543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1928F1"/>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129AD"/>
    <w:pPr>
      <w:spacing w:after="0"/>
    </w:pPr>
  </w:style>
  <w:style w:type="paragraph" w:styleId="TOC3">
    <w:name w:val="toc 3"/>
    <w:basedOn w:val="Normal"/>
    <w:next w:val="Normal"/>
    <w:autoRedefine/>
    <w:uiPriority w:val="39"/>
    <w:unhideWhenUsed/>
    <w:rsid w:val="000967AC"/>
    <w:pPr>
      <w:spacing w:after="100"/>
      <w:ind w:left="440"/>
    </w:pPr>
  </w:style>
  <w:style w:type="paragraph" w:styleId="FootnoteText">
    <w:name w:val="footnote text"/>
    <w:basedOn w:val="Normal"/>
    <w:link w:val="FootnoteTextChar"/>
    <w:uiPriority w:val="99"/>
    <w:semiHidden/>
    <w:unhideWhenUsed/>
    <w:rsid w:val="00354F3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4F37"/>
    <w:rPr>
      <w:sz w:val="20"/>
      <w:szCs w:val="20"/>
    </w:rPr>
  </w:style>
  <w:style w:type="character" w:styleId="FootnoteReference">
    <w:name w:val="footnote reference"/>
    <w:basedOn w:val="DefaultParagraphFont"/>
    <w:uiPriority w:val="99"/>
    <w:semiHidden/>
    <w:unhideWhenUsed/>
    <w:rsid w:val="00354F37"/>
    <w:rPr>
      <w:vertAlign w:val="superscript"/>
    </w:rPr>
  </w:style>
  <w:style w:type="paragraph" w:styleId="DocumentMap">
    <w:name w:val="Document Map"/>
    <w:basedOn w:val="Normal"/>
    <w:link w:val="DocumentMapChar"/>
    <w:uiPriority w:val="99"/>
    <w:semiHidden/>
    <w:unhideWhenUsed/>
    <w:rsid w:val="0022008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0089"/>
    <w:rPr>
      <w:rFonts w:ascii="Tahoma" w:hAnsi="Tahoma" w:cs="Tahoma"/>
      <w:sz w:val="16"/>
      <w:szCs w:val="16"/>
    </w:rPr>
  </w:style>
  <w:style w:type="paragraph" w:styleId="NoSpacing">
    <w:name w:val="No Spacing"/>
    <w:uiPriority w:val="1"/>
    <w:qFormat/>
    <w:rsid w:val="008F5F65"/>
    <w:pPr>
      <w:spacing w:after="0" w:line="240" w:lineRule="auto"/>
    </w:pPr>
  </w:style>
  <w:style w:type="character" w:styleId="Emphasis">
    <w:name w:val="Emphasis"/>
    <w:basedOn w:val="DefaultParagraphFont"/>
    <w:uiPriority w:val="20"/>
    <w:qFormat/>
    <w:rsid w:val="005A465C"/>
    <w:rPr>
      <w:i/>
      <w:iCs/>
    </w:rPr>
  </w:style>
  <w:style w:type="paragraph" w:styleId="NormalWeb">
    <w:name w:val="Normal (Web)"/>
    <w:basedOn w:val="Normal"/>
    <w:uiPriority w:val="99"/>
    <w:unhideWhenUsed/>
    <w:rsid w:val="00DE6DE9"/>
    <w:pPr>
      <w:spacing w:after="75" w:line="240" w:lineRule="auto"/>
    </w:pPr>
    <w:rPr>
      <w:rFonts w:ascii="Times New Roman" w:eastAsia="Times New Roman" w:hAnsi="Times New Roman" w:cs="Times New Roman"/>
      <w:sz w:val="24"/>
      <w:szCs w:val="24"/>
    </w:rPr>
  </w:style>
  <w:style w:type="paragraph" w:styleId="Revision">
    <w:name w:val="Revision"/>
    <w:hidden/>
    <w:uiPriority w:val="99"/>
    <w:semiHidden/>
    <w:rsid w:val="003311C2"/>
    <w:pPr>
      <w:spacing w:after="0" w:line="240" w:lineRule="auto"/>
    </w:pPr>
  </w:style>
  <w:style w:type="paragraph" w:styleId="BodyText">
    <w:name w:val="Body Text"/>
    <w:basedOn w:val="Normal"/>
    <w:link w:val="BodyTextChar"/>
    <w:uiPriority w:val="99"/>
    <w:unhideWhenUsed/>
    <w:rsid w:val="00303A73"/>
    <w:pPr>
      <w:suppressAutoHyphens/>
      <w:jc w:val="both"/>
    </w:pPr>
  </w:style>
  <w:style w:type="character" w:customStyle="1" w:styleId="BodyTextChar">
    <w:name w:val="Body Text Char"/>
    <w:basedOn w:val="DefaultParagraphFont"/>
    <w:link w:val="BodyText"/>
    <w:uiPriority w:val="99"/>
    <w:rsid w:val="00303A73"/>
  </w:style>
  <w:style w:type="paragraph" w:styleId="BodyTextIndent">
    <w:name w:val="Body Text Indent"/>
    <w:basedOn w:val="Normal"/>
    <w:link w:val="BodyTextIndentChar"/>
    <w:uiPriority w:val="99"/>
    <w:unhideWhenUsed/>
    <w:rsid w:val="00303A73"/>
    <w:pPr>
      <w:ind w:firstLine="450"/>
    </w:pPr>
  </w:style>
  <w:style w:type="character" w:customStyle="1" w:styleId="BodyTextIndentChar">
    <w:name w:val="Body Text Indent Char"/>
    <w:basedOn w:val="DefaultParagraphFont"/>
    <w:link w:val="BodyTextIndent"/>
    <w:uiPriority w:val="99"/>
    <w:rsid w:val="00303A73"/>
  </w:style>
  <w:style w:type="paragraph" w:styleId="BodyText2">
    <w:name w:val="Body Text 2"/>
    <w:basedOn w:val="Normal"/>
    <w:link w:val="BodyText2Char"/>
    <w:uiPriority w:val="99"/>
    <w:unhideWhenUsed/>
    <w:rsid w:val="007E24AA"/>
    <w:rPr>
      <w:rFonts w:cstheme="minorHAnsi"/>
      <w:color w:val="000000"/>
    </w:rPr>
  </w:style>
  <w:style w:type="character" w:customStyle="1" w:styleId="BodyText2Char">
    <w:name w:val="Body Text 2 Char"/>
    <w:basedOn w:val="DefaultParagraphFont"/>
    <w:link w:val="BodyText2"/>
    <w:uiPriority w:val="99"/>
    <w:rsid w:val="007E24AA"/>
    <w:rPr>
      <w:rFonts w:cstheme="minorHAnsi"/>
      <w:color w:val="000000"/>
    </w:rPr>
  </w:style>
  <w:style w:type="paragraph" w:styleId="BodyTextIndent2">
    <w:name w:val="Body Text Indent 2"/>
    <w:basedOn w:val="Normal"/>
    <w:link w:val="BodyTextIndent2Char"/>
    <w:uiPriority w:val="99"/>
    <w:unhideWhenUsed/>
    <w:rsid w:val="00F95DB3"/>
    <w:pPr>
      <w:ind w:left="1080" w:hanging="360"/>
      <w:jc w:val="both"/>
    </w:pPr>
  </w:style>
  <w:style w:type="character" w:customStyle="1" w:styleId="BodyTextIndent2Char">
    <w:name w:val="Body Text Indent 2 Char"/>
    <w:basedOn w:val="DefaultParagraphFont"/>
    <w:link w:val="BodyTextIndent2"/>
    <w:uiPriority w:val="99"/>
    <w:rsid w:val="00F95DB3"/>
  </w:style>
  <w:style w:type="paragraph" w:styleId="BodyTextIndent3">
    <w:name w:val="Body Text Indent 3"/>
    <w:basedOn w:val="Normal"/>
    <w:link w:val="BodyTextIndent3Char"/>
    <w:uiPriority w:val="99"/>
    <w:unhideWhenUsed/>
    <w:rsid w:val="00F95DB3"/>
    <w:pPr>
      <w:ind w:left="720"/>
      <w:jc w:val="both"/>
    </w:pPr>
  </w:style>
  <w:style w:type="character" w:customStyle="1" w:styleId="BodyTextIndent3Char">
    <w:name w:val="Body Text Indent 3 Char"/>
    <w:basedOn w:val="DefaultParagraphFont"/>
    <w:link w:val="BodyTextIndent3"/>
    <w:uiPriority w:val="99"/>
    <w:rsid w:val="00F95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704">
      <w:bodyDiv w:val="1"/>
      <w:marLeft w:val="0"/>
      <w:marRight w:val="0"/>
      <w:marTop w:val="0"/>
      <w:marBottom w:val="0"/>
      <w:divBdr>
        <w:top w:val="none" w:sz="0" w:space="0" w:color="auto"/>
        <w:left w:val="none" w:sz="0" w:space="0" w:color="auto"/>
        <w:bottom w:val="none" w:sz="0" w:space="0" w:color="auto"/>
        <w:right w:val="none" w:sz="0" w:space="0" w:color="auto"/>
      </w:divBdr>
    </w:div>
    <w:div w:id="21126421">
      <w:bodyDiv w:val="1"/>
      <w:marLeft w:val="0"/>
      <w:marRight w:val="0"/>
      <w:marTop w:val="0"/>
      <w:marBottom w:val="0"/>
      <w:divBdr>
        <w:top w:val="none" w:sz="0" w:space="0" w:color="auto"/>
        <w:left w:val="none" w:sz="0" w:space="0" w:color="auto"/>
        <w:bottom w:val="none" w:sz="0" w:space="0" w:color="auto"/>
        <w:right w:val="none" w:sz="0" w:space="0" w:color="auto"/>
      </w:divBdr>
    </w:div>
    <w:div w:id="41489479">
      <w:bodyDiv w:val="1"/>
      <w:marLeft w:val="0"/>
      <w:marRight w:val="0"/>
      <w:marTop w:val="0"/>
      <w:marBottom w:val="0"/>
      <w:divBdr>
        <w:top w:val="none" w:sz="0" w:space="0" w:color="auto"/>
        <w:left w:val="none" w:sz="0" w:space="0" w:color="auto"/>
        <w:bottom w:val="none" w:sz="0" w:space="0" w:color="auto"/>
        <w:right w:val="none" w:sz="0" w:space="0" w:color="auto"/>
      </w:divBdr>
    </w:div>
    <w:div w:id="48381755">
      <w:bodyDiv w:val="1"/>
      <w:marLeft w:val="0"/>
      <w:marRight w:val="0"/>
      <w:marTop w:val="0"/>
      <w:marBottom w:val="0"/>
      <w:divBdr>
        <w:top w:val="none" w:sz="0" w:space="0" w:color="auto"/>
        <w:left w:val="none" w:sz="0" w:space="0" w:color="auto"/>
        <w:bottom w:val="none" w:sz="0" w:space="0" w:color="auto"/>
        <w:right w:val="none" w:sz="0" w:space="0" w:color="auto"/>
      </w:divBdr>
    </w:div>
    <w:div w:id="116802730">
      <w:bodyDiv w:val="1"/>
      <w:marLeft w:val="0"/>
      <w:marRight w:val="0"/>
      <w:marTop w:val="0"/>
      <w:marBottom w:val="0"/>
      <w:divBdr>
        <w:top w:val="none" w:sz="0" w:space="0" w:color="auto"/>
        <w:left w:val="none" w:sz="0" w:space="0" w:color="auto"/>
        <w:bottom w:val="none" w:sz="0" w:space="0" w:color="auto"/>
        <w:right w:val="none" w:sz="0" w:space="0" w:color="auto"/>
      </w:divBdr>
    </w:div>
    <w:div w:id="138348205">
      <w:bodyDiv w:val="1"/>
      <w:marLeft w:val="0"/>
      <w:marRight w:val="0"/>
      <w:marTop w:val="0"/>
      <w:marBottom w:val="0"/>
      <w:divBdr>
        <w:top w:val="none" w:sz="0" w:space="0" w:color="auto"/>
        <w:left w:val="none" w:sz="0" w:space="0" w:color="auto"/>
        <w:bottom w:val="none" w:sz="0" w:space="0" w:color="auto"/>
        <w:right w:val="none" w:sz="0" w:space="0" w:color="auto"/>
      </w:divBdr>
    </w:div>
    <w:div w:id="140200744">
      <w:bodyDiv w:val="1"/>
      <w:marLeft w:val="0"/>
      <w:marRight w:val="0"/>
      <w:marTop w:val="0"/>
      <w:marBottom w:val="0"/>
      <w:divBdr>
        <w:top w:val="none" w:sz="0" w:space="0" w:color="auto"/>
        <w:left w:val="none" w:sz="0" w:space="0" w:color="auto"/>
        <w:bottom w:val="none" w:sz="0" w:space="0" w:color="auto"/>
        <w:right w:val="none" w:sz="0" w:space="0" w:color="auto"/>
      </w:divBdr>
    </w:div>
    <w:div w:id="141623354">
      <w:bodyDiv w:val="1"/>
      <w:marLeft w:val="0"/>
      <w:marRight w:val="0"/>
      <w:marTop w:val="0"/>
      <w:marBottom w:val="0"/>
      <w:divBdr>
        <w:top w:val="none" w:sz="0" w:space="0" w:color="auto"/>
        <w:left w:val="none" w:sz="0" w:space="0" w:color="auto"/>
        <w:bottom w:val="none" w:sz="0" w:space="0" w:color="auto"/>
        <w:right w:val="none" w:sz="0" w:space="0" w:color="auto"/>
      </w:divBdr>
    </w:div>
    <w:div w:id="153107871">
      <w:bodyDiv w:val="1"/>
      <w:marLeft w:val="0"/>
      <w:marRight w:val="0"/>
      <w:marTop w:val="0"/>
      <w:marBottom w:val="0"/>
      <w:divBdr>
        <w:top w:val="none" w:sz="0" w:space="0" w:color="auto"/>
        <w:left w:val="none" w:sz="0" w:space="0" w:color="auto"/>
        <w:bottom w:val="none" w:sz="0" w:space="0" w:color="auto"/>
        <w:right w:val="none" w:sz="0" w:space="0" w:color="auto"/>
      </w:divBdr>
    </w:div>
    <w:div w:id="181089886">
      <w:bodyDiv w:val="1"/>
      <w:marLeft w:val="0"/>
      <w:marRight w:val="0"/>
      <w:marTop w:val="0"/>
      <w:marBottom w:val="0"/>
      <w:divBdr>
        <w:top w:val="none" w:sz="0" w:space="0" w:color="auto"/>
        <w:left w:val="none" w:sz="0" w:space="0" w:color="auto"/>
        <w:bottom w:val="none" w:sz="0" w:space="0" w:color="auto"/>
        <w:right w:val="none" w:sz="0" w:space="0" w:color="auto"/>
      </w:divBdr>
    </w:div>
    <w:div w:id="190536303">
      <w:bodyDiv w:val="1"/>
      <w:marLeft w:val="0"/>
      <w:marRight w:val="0"/>
      <w:marTop w:val="0"/>
      <w:marBottom w:val="0"/>
      <w:divBdr>
        <w:top w:val="none" w:sz="0" w:space="0" w:color="auto"/>
        <w:left w:val="none" w:sz="0" w:space="0" w:color="auto"/>
        <w:bottom w:val="none" w:sz="0" w:space="0" w:color="auto"/>
        <w:right w:val="none" w:sz="0" w:space="0" w:color="auto"/>
      </w:divBdr>
    </w:div>
    <w:div w:id="330135878">
      <w:bodyDiv w:val="1"/>
      <w:marLeft w:val="0"/>
      <w:marRight w:val="0"/>
      <w:marTop w:val="0"/>
      <w:marBottom w:val="0"/>
      <w:divBdr>
        <w:top w:val="none" w:sz="0" w:space="0" w:color="auto"/>
        <w:left w:val="none" w:sz="0" w:space="0" w:color="auto"/>
        <w:bottom w:val="none" w:sz="0" w:space="0" w:color="auto"/>
        <w:right w:val="none" w:sz="0" w:space="0" w:color="auto"/>
      </w:divBdr>
    </w:div>
    <w:div w:id="340863199">
      <w:bodyDiv w:val="1"/>
      <w:marLeft w:val="0"/>
      <w:marRight w:val="0"/>
      <w:marTop w:val="0"/>
      <w:marBottom w:val="0"/>
      <w:divBdr>
        <w:top w:val="none" w:sz="0" w:space="0" w:color="auto"/>
        <w:left w:val="none" w:sz="0" w:space="0" w:color="auto"/>
        <w:bottom w:val="none" w:sz="0" w:space="0" w:color="auto"/>
        <w:right w:val="none" w:sz="0" w:space="0" w:color="auto"/>
      </w:divBdr>
    </w:div>
    <w:div w:id="341125661">
      <w:bodyDiv w:val="1"/>
      <w:marLeft w:val="0"/>
      <w:marRight w:val="0"/>
      <w:marTop w:val="0"/>
      <w:marBottom w:val="0"/>
      <w:divBdr>
        <w:top w:val="none" w:sz="0" w:space="0" w:color="auto"/>
        <w:left w:val="none" w:sz="0" w:space="0" w:color="auto"/>
        <w:bottom w:val="none" w:sz="0" w:space="0" w:color="auto"/>
        <w:right w:val="none" w:sz="0" w:space="0" w:color="auto"/>
      </w:divBdr>
    </w:div>
    <w:div w:id="374505276">
      <w:bodyDiv w:val="1"/>
      <w:marLeft w:val="0"/>
      <w:marRight w:val="0"/>
      <w:marTop w:val="0"/>
      <w:marBottom w:val="0"/>
      <w:divBdr>
        <w:top w:val="none" w:sz="0" w:space="0" w:color="auto"/>
        <w:left w:val="none" w:sz="0" w:space="0" w:color="auto"/>
        <w:bottom w:val="none" w:sz="0" w:space="0" w:color="auto"/>
        <w:right w:val="none" w:sz="0" w:space="0" w:color="auto"/>
      </w:divBdr>
    </w:div>
    <w:div w:id="391269174">
      <w:bodyDiv w:val="1"/>
      <w:marLeft w:val="0"/>
      <w:marRight w:val="0"/>
      <w:marTop w:val="0"/>
      <w:marBottom w:val="0"/>
      <w:divBdr>
        <w:top w:val="none" w:sz="0" w:space="0" w:color="auto"/>
        <w:left w:val="none" w:sz="0" w:space="0" w:color="auto"/>
        <w:bottom w:val="none" w:sz="0" w:space="0" w:color="auto"/>
        <w:right w:val="none" w:sz="0" w:space="0" w:color="auto"/>
      </w:divBdr>
    </w:div>
    <w:div w:id="413087525">
      <w:bodyDiv w:val="1"/>
      <w:marLeft w:val="0"/>
      <w:marRight w:val="0"/>
      <w:marTop w:val="0"/>
      <w:marBottom w:val="0"/>
      <w:divBdr>
        <w:top w:val="none" w:sz="0" w:space="0" w:color="auto"/>
        <w:left w:val="none" w:sz="0" w:space="0" w:color="auto"/>
        <w:bottom w:val="none" w:sz="0" w:space="0" w:color="auto"/>
        <w:right w:val="none" w:sz="0" w:space="0" w:color="auto"/>
      </w:divBdr>
    </w:div>
    <w:div w:id="496266216">
      <w:bodyDiv w:val="1"/>
      <w:marLeft w:val="0"/>
      <w:marRight w:val="0"/>
      <w:marTop w:val="0"/>
      <w:marBottom w:val="0"/>
      <w:divBdr>
        <w:top w:val="none" w:sz="0" w:space="0" w:color="auto"/>
        <w:left w:val="none" w:sz="0" w:space="0" w:color="auto"/>
        <w:bottom w:val="none" w:sz="0" w:space="0" w:color="auto"/>
        <w:right w:val="none" w:sz="0" w:space="0" w:color="auto"/>
      </w:divBdr>
    </w:div>
    <w:div w:id="498422074">
      <w:bodyDiv w:val="1"/>
      <w:marLeft w:val="0"/>
      <w:marRight w:val="0"/>
      <w:marTop w:val="0"/>
      <w:marBottom w:val="0"/>
      <w:divBdr>
        <w:top w:val="none" w:sz="0" w:space="0" w:color="auto"/>
        <w:left w:val="none" w:sz="0" w:space="0" w:color="auto"/>
        <w:bottom w:val="none" w:sz="0" w:space="0" w:color="auto"/>
        <w:right w:val="none" w:sz="0" w:space="0" w:color="auto"/>
      </w:divBdr>
    </w:div>
    <w:div w:id="539509815">
      <w:bodyDiv w:val="1"/>
      <w:marLeft w:val="0"/>
      <w:marRight w:val="0"/>
      <w:marTop w:val="0"/>
      <w:marBottom w:val="0"/>
      <w:divBdr>
        <w:top w:val="none" w:sz="0" w:space="0" w:color="auto"/>
        <w:left w:val="none" w:sz="0" w:space="0" w:color="auto"/>
        <w:bottom w:val="none" w:sz="0" w:space="0" w:color="auto"/>
        <w:right w:val="none" w:sz="0" w:space="0" w:color="auto"/>
      </w:divBdr>
    </w:div>
    <w:div w:id="569845961">
      <w:bodyDiv w:val="1"/>
      <w:marLeft w:val="0"/>
      <w:marRight w:val="0"/>
      <w:marTop w:val="0"/>
      <w:marBottom w:val="0"/>
      <w:divBdr>
        <w:top w:val="none" w:sz="0" w:space="0" w:color="auto"/>
        <w:left w:val="none" w:sz="0" w:space="0" w:color="auto"/>
        <w:bottom w:val="none" w:sz="0" w:space="0" w:color="auto"/>
        <w:right w:val="none" w:sz="0" w:space="0" w:color="auto"/>
      </w:divBdr>
    </w:div>
    <w:div w:id="571618620">
      <w:bodyDiv w:val="1"/>
      <w:marLeft w:val="0"/>
      <w:marRight w:val="0"/>
      <w:marTop w:val="0"/>
      <w:marBottom w:val="0"/>
      <w:divBdr>
        <w:top w:val="none" w:sz="0" w:space="0" w:color="auto"/>
        <w:left w:val="none" w:sz="0" w:space="0" w:color="auto"/>
        <w:bottom w:val="none" w:sz="0" w:space="0" w:color="auto"/>
        <w:right w:val="none" w:sz="0" w:space="0" w:color="auto"/>
      </w:divBdr>
    </w:div>
    <w:div w:id="598414553">
      <w:bodyDiv w:val="1"/>
      <w:marLeft w:val="0"/>
      <w:marRight w:val="0"/>
      <w:marTop w:val="0"/>
      <w:marBottom w:val="0"/>
      <w:divBdr>
        <w:top w:val="none" w:sz="0" w:space="0" w:color="auto"/>
        <w:left w:val="none" w:sz="0" w:space="0" w:color="auto"/>
        <w:bottom w:val="none" w:sz="0" w:space="0" w:color="auto"/>
        <w:right w:val="none" w:sz="0" w:space="0" w:color="auto"/>
      </w:divBdr>
    </w:div>
    <w:div w:id="628048185">
      <w:bodyDiv w:val="1"/>
      <w:marLeft w:val="0"/>
      <w:marRight w:val="0"/>
      <w:marTop w:val="0"/>
      <w:marBottom w:val="0"/>
      <w:divBdr>
        <w:top w:val="none" w:sz="0" w:space="0" w:color="auto"/>
        <w:left w:val="none" w:sz="0" w:space="0" w:color="auto"/>
        <w:bottom w:val="none" w:sz="0" w:space="0" w:color="auto"/>
        <w:right w:val="none" w:sz="0" w:space="0" w:color="auto"/>
      </w:divBdr>
    </w:div>
    <w:div w:id="643196603">
      <w:bodyDiv w:val="1"/>
      <w:marLeft w:val="0"/>
      <w:marRight w:val="0"/>
      <w:marTop w:val="0"/>
      <w:marBottom w:val="0"/>
      <w:divBdr>
        <w:top w:val="none" w:sz="0" w:space="0" w:color="auto"/>
        <w:left w:val="none" w:sz="0" w:space="0" w:color="auto"/>
        <w:bottom w:val="none" w:sz="0" w:space="0" w:color="auto"/>
        <w:right w:val="none" w:sz="0" w:space="0" w:color="auto"/>
      </w:divBdr>
    </w:div>
    <w:div w:id="660472513">
      <w:bodyDiv w:val="1"/>
      <w:marLeft w:val="0"/>
      <w:marRight w:val="0"/>
      <w:marTop w:val="0"/>
      <w:marBottom w:val="0"/>
      <w:divBdr>
        <w:top w:val="none" w:sz="0" w:space="0" w:color="auto"/>
        <w:left w:val="none" w:sz="0" w:space="0" w:color="auto"/>
        <w:bottom w:val="none" w:sz="0" w:space="0" w:color="auto"/>
        <w:right w:val="none" w:sz="0" w:space="0" w:color="auto"/>
      </w:divBdr>
    </w:div>
    <w:div w:id="660815810">
      <w:bodyDiv w:val="1"/>
      <w:marLeft w:val="0"/>
      <w:marRight w:val="0"/>
      <w:marTop w:val="0"/>
      <w:marBottom w:val="0"/>
      <w:divBdr>
        <w:top w:val="none" w:sz="0" w:space="0" w:color="auto"/>
        <w:left w:val="none" w:sz="0" w:space="0" w:color="auto"/>
        <w:bottom w:val="none" w:sz="0" w:space="0" w:color="auto"/>
        <w:right w:val="none" w:sz="0" w:space="0" w:color="auto"/>
      </w:divBdr>
    </w:div>
    <w:div w:id="663779577">
      <w:bodyDiv w:val="1"/>
      <w:marLeft w:val="0"/>
      <w:marRight w:val="0"/>
      <w:marTop w:val="0"/>
      <w:marBottom w:val="0"/>
      <w:divBdr>
        <w:top w:val="none" w:sz="0" w:space="0" w:color="auto"/>
        <w:left w:val="none" w:sz="0" w:space="0" w:color="auto"/>
        <w:bottom w:val="none" w:sz="0" w:space="0" w:color="auto"/>
        <w:right w:val="none" w:sz="0" w:space="0" w:color="auto"/>
      </w:divBdr>
    </w:div>
    <w:div w:id="667754714">
      <w:bodyDiv w:val="1"/>
      <w:marLeft w:val="0"/>
      <w:marRight w:val="0"/>
      <w:marTop w:val="0"/>
      <w:marBottom w:val="0"/>
      <w:divBdr>
        <w:top w:val="none" w:sz="0" w:space="0" w:color="auto"/>
        <w:left w:val="none" w:sz="0" w:space="0" w:color="auto"/>
        <w:bottom w:val="none" w:sz="0" w:space="0" w:color="auto"/>
        <w:right w:val="none" w:sz="0" w:space="0" w:color="auto"/>
      </w:divBdr>
    </w:div>
    <w:div w:id="672680897">
      <w:bodyDiv w:val="1"/>
      <w:marLeft w:val="0"/>
      <w:marRight w:val="0"/>
      <w:marTop w:val="0"/>
      <w:marBottom w:val="0"/>
      <w:divBdr>
        <w:top w:val="none" w:sz="0" w:space="0" w:color="auto"/>
        <w:left w:val="none" w:sz="0" w:space="0" w:color="auto"/>
        <w:bottom w:val="none" w:sz="0" w:space="0" w:color="auto"/>
        <w:right w:val="none" w:sz="0" w:space="0" w:color="auto"/>
      </w:divBdr>
    </w:div>
    <w:div w:id="686760770">
      <w:bodyDiv w:val="1"/>
      <w:marLeft w:val="0"/>
      <w:marRight w:val="0"/>
      <w:marTop w:val="0"/>
      <w:marBottom w:val="0"/>
      <w:divBdr>
        <w:top w:val="none" w:sz="0" w:space="0" w:color="auto"/>
        <w:left w:val="none" w:sz="0" w:space="0" w:color="auto"/>
        <w:bottom w:val="none" w:sz="0" w:space="0" w:color="auto"/>
        <w:right w:val="none" w:sz="0" w:space="0" w:color="auto"/>
      </w:divBdr>
    </w:div>
    <w:div w:id="754979283">
      <w:bodyDiv w:val="1"/>
      <w:marLeft w:val="0"/>
      <w:marRight w:val="0"/>
      <w:marTop w:val="0"/>
      <w:marBottom w:val="0"/>
      <w:divBdr>
        <w:top w:val="none" w:sz="0" w:space="0" w:color="auto"/>
        <w:left w:val="none" w:sz="0" w:space="0" w:color="auto"/>
        <w:bottom w:val="none" w:sz="0" w:space="0" w:color="auto"/>
        <w:right w:val="none" w:sz="0" w:space="0" w:color="auto"/>
      </w:divBdr>
    </w:div>
    <w:div w:id="781997660">
      <w:bodyDiv w:val="1"/>
      <w:marLeft w:val="0"/>
      <w:marRight w:val="0"/>
      <w:marTop w:val="0"/>
      <w:marBottom w:val="0"/>
      <w:divBdr>
        <w:top w:val="none" w:sz="0" w:space="0" w:color="auto"/>
        <w:left w:val="none" w:sz="0" w:space="0" w:color="auto"/>
        <w:bottom w:val="none" w:sz="0" w:space="0" w:color="auto"/>
        <w:right w:val="none" w:sz="0" w:space="0" w:color="auto"/>
      </w:divBdr>
    </w:div>
    <w:div w:id="814226335">
      <w:bodyDiv w:val="1"/>
      <w:marLeft w:val="0"/>
      <w:marRight w:val="0"/>
      <w:marTop w:val="0"/>
      <w:marBottom w:val="0"/>
      <w:divBdr>
        <w:top w:val="none" w:sz="0" w:space="0" w:color="auto"/>
        <w:left w:val="none" w:sz="0" w:space="0" w:color="auto"/>
        <w:bottom w:val="none" w:sz="0" w:space="0" w:color="auto"/>
        <w:right w:val="none" w:sz="0" w:space="0" w:color="auto"/>
      </w:divBdr>
    </w:div>
    <w:div w:id="822427133">
      <w:bodyDiv w:val="1"/>
      <w:marLeft w:val="0"/>
      <w:marRight w:val="0"/>
      <w:marTop w:val="0"/>
      <w:marBottom w:val="0"/>
      <w:divBdr>
        <w:top w:val="none" w:sz="0" w:space="0" w:color="auto"/>
        <w:left w:val="none" w:sz="0" w:space="0" w:color="auto"/>
        <w:bottom w:val="none" w:sz="0" w:space="0" w:color="auto"/>
        <w:right w:val="none" w:sz="0" w:space="0" w:color="auto"/>
      </w:divBdr>
    </w:div>
    <w:div w:id="895631207">
      <w:bodyDiv w:val="1"/>
      <w:marLeft w:val="0"/>
      <w:marRight w:val="0"/>
      <w:marTop w:val="0"/>
      <w:marBottom w:val="0"/>
      <w:divBdr>
        <w:top w:val="none" w:sz="0" w:space="0" w:color="auto"/>
        <w:left w:val="none" w:sz="0" w:space="0" w:color="auto"/>
        <w:bottom w:val="none" w:sz="0" w:space="0" w:color="auto"/>
        <w:right w:val="none" w:sz="0" w:space="0" w:color="auto"/>
      </w:divBdr>
    </w:div>
    <w:div w:id="937374721">
      <w:bodyDiv w:val="1"/>
      <w:marLeft w:val="0"/>
      <w:marRight w:val="0"/>
      <w:marTop w:val="0"/>
      <w:marBottom w:val="0"/>
      <w:divBdr>
        <w:top w:val="none" w:sz="0" w:space="0" w:color="auto"/>
        <w:left w:val="none" w:sz="0" w:space="0" w:color="auto"/>
        <w:bottom w:val="none" w:sz="0" w:space="0" w:color="auto"/>
        <w:right w:val="none" w:sz="0" w:space="0" w:color="auto"/>
      </w:divBdr>
    </w:div>
    <w:div w:id="995956040">
      <w:bodyDiv w:val="1"/>
      <w:marLeft w:val="0"/>
      <w:marRight w:val="0"/>
      <w:marTop w:val="0"/>
      <w:marBottom w:val="0"/>
      <w:divBdr>
        <w:top w:val="none" w:sz="0" w:space="0" w:color="auto"/>
        <w:left w:val="none" w:sz="0" w:space="0" w:color="auto"/>
        <w:bottom w:val="none" w:sz="0" w:space="0" w:color="auto"/>
        <w:right w:val="none" w:sz="0" w:space="0" w:color="auto"/>
      </w:divBdr>
    </w:div>
    <w:div w:id="1044141749">
      <w:bodyDiv w:val="1"/>
      <w:marLeft w:val="0"/>
      <w:marRight w:val="0"/>
      <w:marTop w:val="0"/>
      <w:marBottom w:val="0"/>
      <w:divBdr>
        <w:top w:val="none" w:sz="0" w:space="0" w:color="auto"/>
        <w:left w:val="none" w:sz="0" w:space="0" w:color="auto"/>
        <w:bottom w:val="none" w:sz="0" w:space="0" w:color="auto"/>
        <w:right w:val="none" w:sz="0" w:space="0" w:color="auto"/>
      </w:divBdr>
    </w:div>
    <w:div w:id="1058360798">
      <w:bodyDiv w:val="1"/>
      <w:marLeft w:val="0"/>
      <w:marRight w:val="0"/>
      <w:marTop w:val="0"/>
      <w:marBottom w:val="0"/>
      <w:divBdr>
        <w:top w:val="none" w:sz="0" w:space="0" w:color="auto"/>
        <w:left w:val="none" w:sz="0" w:space="0" w:color="auto"/>
        <w:bottom w:val="none" w:sz="0" w:space="0" w:color="auto"/>
        <w:right w:val="none" w:sz="0" w:space="0" w:color="auto"/>
      </w:divBdr>
    </w:div>
    <w:div w:id="1078017705">
      <w:bodyDiv w:val="1"/>
      <w:marLeft w:val="0"/>
      <w:marRight w:val="0"/>
      <w:marTop w:val="0"/>
      <w:marBottom w:val="0"/>
      <w:divBdr>
        <w:top w:val="none" w:sz="0" w:space="0" w:color="auto"/>
        <w:left w:val="none" w:sz="0" w:space="0" w:color="auto"/>
        <w:bottom w:val="none" w:sz="0" w:space="0" w:color="auto"/>
        <w:right w:val="none" w:sz="0" w:space="0" w:color="auto"/>
      </w:divBdr>
    </w:div>
    <w:div w:id="1084257171">
      <w:bodyDiv w:val="1"/>
      <w:marLeft w:val="0"/>
      <w:marRight w:val="0"/>
      <w:marTop w:val="0"/>
      <w:marBottom w:val="0"/>
      <w:divBdr>
        <w:top w:val="none" w:sz="0" w:space="0" w:color="auto"/>
        <w:left w:val="none" w:sz="0" w:space="0" w:color="auto"/>
        <w:bottom w:val="none" w:sz="0" w:space="0" w:color="auto"/>
        <w:right w:val="none" w:sz="0" w:space="0" w:color="auto"/>
      </w:divBdr>
    </w:div>
    <w:div w:id="1098981654">
      <w:bodyDiv w:val="1"/>
      <w:marLeft w:val="0"/>
      <w:marRight w:val="0"/>
      <w:marTop w:val="0"/>
      <w:marBottom w:val="0"/>
      <w:divBdr>
        <w:top w:val="none" w:sz="0" w:space="0" w:color="auto"/>
        <w:left w:val="none" w:sz="0" w:space="0" w:color="auto"/>
        <w:bottom w:val="none" w:sz="0" w:space="0" w:color="auto"/>
        <w:right w:val="none" w:sz="0" w:space="0" w:color="auto"/>
      </w:divBdr>
    </w:div>
    <w:div w:id="1102720101">
      <w:bodyDiv w:val="1"/>
      <w:marLeft w:val="0"/>
      <w:marRight w:val="0"/>
      <w:marTop w:val="0"/>
      <w:marBottom w:val="0"/>
      <w:divBdr>
        <w:top w:val="none" w:sz="0" w:space="0" w:color="auto"/>
        <w:left w:val="none" w:sz="0" w:space="0" w:color="auto"/>
        <w:bottom w:val="none" w:sz="0" w:space="0" w:color="auto"/>
        <w:right w:val="none" w:sz="0" w:space="0" w:color="auto"/>
      </w:divBdr>
    </w:div>
    <w:div w:id="1103764558">
      <w:bodyDiv w:val="1"/>
      <w:marLeft w:val="0"/>
      <w:marRight w:val="0"/>
      <w:marTop w:val="0"/>
      <w:marBottom w:val="0"/>
      <w:divBdr>
        <w:top w:val="none" w:sz="0" w:space="0" w:color="auto"/>
        <w:left w:val="none" w:sz="0" w:space="0" w:color="auto"/>
        <w:bottom w:val="none" w:sz="0" w:space="0" w:color="auto"/>
        <w:right w:val="none" w:sz="0" w:space="0" w:color="auto"/>
      </w:divBdr>
    </w:div>
    <w:div w:id="1126437042">
      <w:bodyDiv w:val="1"/>
      <w:marLeft w:val="0"/>
      <w:marRight w:val="0"/>
      <w:marTop w:val="0"/>
      <w:marBottom w:val="0"/>
      <w:divBdr>
        <w:top w:val="none" w:sz="0" w:space="0" w:color="auto"/>
        <w:left w:val="none" w:sz="0" w:space="0" w:color="auto"/>
        <w:bottom w:val="none" w:sz="0" w:space="0" w:color="auto"/>
        <w:right w:val="none" w:sz="0" w:space="0" w:color="auto"/>
      </w:divBdr>
    </w:div>
    <w:div w:id="1182624540">
      <w:bodyDiv w:val="1"/>
      <w:marLeft w:val="0"/>
      <w:marRight w:val="0"/>
      <w:marTop w:val="0"/>
      <w:marBottom w:val="0"/>
      <w:divBdr>
        <w:top w:val="none" w:sz="0" w:space="0" w:color="auto"/>
        <w:left w:val="none" w:sz="0" w:space="0" w:color="auto"/>
        <w:bottom w:val="none" w:sz="0" w:space="0" w:color="auto"/>
        <w:right w:val="none" w:sz="0" w:space="0" w:color="auto"/>
      </w:divBdr>
    </w:div>
    <w:div w:id="1205295320">
      <w:bodyDiv w:val="1"/>
      <w:marLeft w:val="0"/>
      <w:marRight w:val="0"/>
      <w:marTop w:val="0"/>
      <w:marBottom w:val="0"/>
      <w:divBdr>
        <w:top w:val="none" w:sz="0" w:space="0" w:color="auto"/>
        <w:left w:val="none" w:sz="0" w:space="0" w:color="auto"/>
        <w:bottom w:val="none" w:sz="0" w:space="0" w:color="auto"/>
        <w:right w:val="none" w:sz="0" w:space="0" w:color="auto"/>
      </w:divBdr>
    </w:div>
    <w:div w:id="1281378899">
      <w:bodyDiv w:val="1"/>
      <w:marLeft w:val="0"/>
      <w:marRight w:val="0"/>
      <w:marTop w:val="0"/>
      <w:marBottom w:val="0"/>
      <w:divBdr>
        <w:top w:val="none" w:sz="0" w:space="0" w:color="auto"/>
        <w:left w:val="none" w:sz="0" w:space="0" w:color="auto"/>
        <w:bottom w:val="none" w:sz="0" w:space="0" w:color="auto"/>
        <w:right w:val="none" w:sz="0" w:space="0" w:color="auto"/>
      </w:divBdr>
    </w:div>
    <w:div w:id="1355887720">
      <w:bodyDiv w:val="1"/>
      <w:marLeft w:val="0"/>
      <w:marRight w:val="0"/>
      <w:marTop w:val="0"/>
      <w:marBottom w:val="0"/>
      <w:divBdr>
        <w:top w:val="none" w:sz="0" w:space="0" w:color="auto"/>
        <w:left w:val="none" w:sz="0" w:space="0" w:color="auto"/>
        <w:bottom w:val="none" w:sz="0" w:space="0" w:color="auto"/>
        <w:right w:val="none" w:sz="0" w:space="0" w:color="auto"/>
      </w:divBdr>
    </w:div>
    <w:div w:id="1362709727">
      <w:bodyDiv w:val="1"/>
      <w:marLeft w:val="0"/>
      <w:marRight w:val="0"/>
      <w:marTop w:val="0"/>
      <w:marBottom w:val="0"/>
      <w:divBdr>
        <w:top w:val="none" w:sz="0" w:space="0" w:color="auto"/>
        <w:left w:val="none" w:sz="0" w:space="0" w:color="auto"/>
        <w:bottom w:val="none" w:sz="0" w:space="0" w:color="auto"/>
        <w:right w:val="none" w:sz="0" w:space="0" w:color="auto"/>
      </w:divBdr>
    </w:div>
    <w:div w:id="1372724458">
      <w:bodyDiv w:val="1"/>
      <w:marLeft w:val="0"/>
      <w:marRight w:val="0"/>
      <w:marTop w:val="0"/>
      <w:marBottom w:val="0"/>
      <w:divBdr>
        <w:top w:val="none" w:sz="0" w:space="0" w:color="auto"/>
        <w:left w:val="none" w:sz="0" w:space="0" w:color="auto"/>
        <w:bottom w:val="none" w:sz="0" w:space="0" w:color="auto"/>
        <w:right w:val="none" w:sz="0" w:space="0" w:color="auto"/>
      </w:divBdr>
    </w:div>
    <w:div w:id="1410612738">
      <w:bodyDiv w:val="1"/>
      <w:marLeft w:val="0"/>
      <w:marRight w:val="0"/>
      <w:marTop w:val="0"/>
      <w:marBottom w:val="0"/>
      <w:divBdr>
        <w:top w:val="none" w:sz="0" w:space="0" w:color="auto"/>
        <w:left w:val="none" w:sz="0" w:space="0" w:color="auto"/>
        <w:bottom w:val="none" w:sz="0" w:space="0" w:color="auto"/>
        <w:right w:val="none" w:sz="0" w:space="0" w:color="auto"/>
      </w:divBdr>
    </w:div>
    <w:div w:id="1424647674">
      <w:bodyDiv w:val="1"/>
      <w:marLeft w:val="0"/>
      <w:marRight w:val="0"/>
      <w:marTop w:val="0"/>
      <w:marBottom w:val="0"/>
      <w:divBdr>
        <w:top w:val="none" w:sz="0" w:space="0" w:color="auto"/>
        <w:left w:val="none" w:sz="0" w:space="0" w:color="auto"/>
        <w:bottom w:val="none" w:sz="0" w:space="0" w:color="auto"/>
        <w:right w:val="none" w:sz="0" w:space="0" w:color="auto"/>
      </w:divBdr>
    </w:div>
    <w:div w:id="1435008262">
      <w:bodyDiv w:val="1"/>
      <w:marLeft w:val="0"/>
      <w:marRight w:val="0"/>
      <w:marTop w:val="0"/>
      <w:marBottom w:val="0"/>
      <w:divBdr>
        <w:top w:val="none" w:sz="0" w:space="0" w:color="auto"/>
        <w:left w:val="none" w:sz="0" w:space="0" w:color="auto"/>
        <w:bottom w:val="none" w:sz="0" w:space="0" w:color="auto"/>
        <w:right w:val="none" w:sz="0" w:space="0" w:color="auto"/>
      </w:divBdr>
    </w:div>
    <w:div w:id="1451898573">
      <w:bodyDiv w:val="1"/>
      <w:marLeft w:val="0"/>
      <w:marRight w:val="0"/>
      <w:marTop w:val="0"/>
      <w:marBottom w:val="0"/>
      <w:divBdr>
        <w:top w:val="none" w:sz="0" w:space="0" w:color="auto"/>
        <w:left w:val="none" w:sz="0" w:space="0" w:color="auto"/>
        <w:bottom w:val="none" w:sz="0" w:space="0" w:color="auto"/>
        <w:right w:val="none" w:sz="0" w:space="0" w:color="auto"/>
      </w:divBdr>
    </w:div>
    <w:div w:id="1457797396">
      <w:bodyDiv w:val="1"/>
      <w:marLeft w:val="0"/>
      <w:marRight w:val="0"/>
      <w:marTop w:val="0"/>
      <w:marBottom w:val="0"/>
      <w:divBdr>
        <w:top w:val="none" w:sz="0" w:space="0" w:color="auto"/>
        <w:left w:val="none" w:sz="0" w:space="0" w:color="auto"/>
        <w:bottom w:val="none" w:sz="0" w:space="0" w:color="auto"/>
        <w:right w:val="none" w:sz="0" w:space="0" w:color="auto"/>
      </w:divBdr>
    </w:div>
    <w:div w:id="1466586338">
      <w:bodyDiv w:val="1"/>
      <w:marLeft w:val="0"/>
      <w:marRight w:val="0"/>
      <w:marTop w:val="0"/>
      <w:marBottom w:val="0"/>
      <w:divBdr>
        <w:top w:val="none" w:sz="0" w:space="0" w:color="auto"/>
        <w:left w:val="none" w:sz="0" w:space="0" w:color="auto"/>
        <w:bottom w:val="none" w:sz="0" w:space="0" w:color="auto"/>
        <w:right w:val="none" w:sz="0" w:space="0" w:color="auto"/>
      </w:divBdr>
    </w:div>
    <w:div w:id="1494448772">
      <w:bodyDiv w:val="1"/>
      <w:marLeft w:val="0"/>
      <w:marRight w:val="0"/>
      <w:marTop w:val="0"/>
      <w:marBottom w:val="0"/>
      <w:divBdr>
        <w:top w:val="none" w:sz="0" w:space="0" w:color="auto"/>
        <w:left w:val="none" w:sz="0" w:space="0" w:color="auto"/>
        <w:bottom w:val="none" w:sz="0" w:space="0" w:color="auto"/>
        <w:right w:val="none" w:sz="0" w:space="0" w:color="auto"/>
      </w:divBdr>
    </w:div>
    <w:div w:id="1500271791">
      <w:bodyDiv w:val="1"/>
      <w:marLeft w:val="0"/>
      <w:marRight w:val="0"/>
      <w:marTop w:val="0"/>
      <w:marBottom w:val="0"/>
      <w:divBdr>
        <w:top w:val="none" w:sz="0" w:space="0" w:color="auto"/>
        <w:left w:val="none" w:sz="0" w:space="0" w:color="auto"/>
        <w:bottom w:val="none" w:sz="0" w:space="0" w:color="auto"/>
        <w:right w:val="none" w:sz="0" w:space="0" w:color="auto"/>
      </w:divBdr>
    </w:div>
    <w:div w:id="1503660745">
      <w:bodyDiv w:val="1"/>
      <w:marLeft w:val="0"/>
      <w:marRight w:val="0"/>
      <w:marTop w:val="0"/>
      <w:marBottom w:val="0"/>
      <w:divBdr>
        <w:top w:val="none" w:sz="0" w:space="0" w:color="auto"/>
        <w:left w:val="none" w:sz="0" w:space="0" w:color="auto"/>
        <w:bottom w:val="none" w:sz="0" w:space="0" w:color="auto"/>
        <w:right w:val="none" w:sz="0" w:space="0" w:color="auto"/>
      </w:divBdr>
    </w:div>
    <w:div w:id="1518930242">
      <w:bodyDiv w:val="1"/>
      <w:marLeft w:val="0"/>
      <w:marRight w:val="0"/>
      <w:marTop w:val="0"/>
      <w:marBottom w:val="0"/>
      <w:divBdr>
        <w:top w:val="none" w:sz="0" w:space="0" w:color="auto"/>
        <w:left w:val="none" w:sz="0" w:space="0" w:color="auto"/>
        <w:bottom w:val="none" w:sz="0" w:space="0" w:color="auto"/>
        <w:right w:val="none" w:sz="0" w:space="0" w:color="auto"/>
      </w:divBdr>
    </w:div>
    <w:div w:id="1527212834">
      <w:bodyDiv w:val="1"/>
      <w:marLeft w:val="0"/>
      <w:marRight w:val="0"/>
      <w:marTop w:val="0"/>
      <w:marBottom w:val="0"/>
      <w:divBdr>
        <w:top w:val="none" w:sz="0" w:space="0" w:color="auto"/>
        <w:left w:val="none" w:sz="0" w:space="0" w:color="auto"/>
        <w:bottom w:val="none" w:sz="0" w:space="0" w:color="auto"/>
        <w:right w:val="none" w:sz="0" w:space="0" w:color="auto"/>
      </w:divBdr>
    </w:div>
    <w:div w:id="1528105716">
      <w:bodyDiv w:val="1"/>
      <w:marLeft w:val="0"/>
      <w:marRight w:val="0"/>
      <w:marTop w:val="0"/>
      <w:marBottom w:val="0"/>
      <w:divBdr>
        <w:top w:val="none" w:sz="0" w:space="0" w:color="auto"/>
        <w:left w:val="none" w:sz="0" w:space="0" w:color="auto"/>
        <w:bottom w:val="none" w:sz="0" w:space="0" w:color="auto"/>
        <w:right w:val="none" w:sz="0" w:space="0" w:color="auto"/>
      </w:divBdr>
    </w:div>
    <w:div w:id="1533692635">
      <w:bodyDiv w:val="1"/>
      <w:marLeft w:val="0"/>
      <w:marRight w:val="0"/>
      <w:marTop w:val="0"/>
      <w:marBottom w:val="0"/>
      <w:divBdr>
        <w:top w:val="none" w:sz="0" w:space="0" w:color="auto"/>
        <w:left w:val="none" w:sz="0" w:space="0" w:color="auto"/>
        <w:bottom w:val="none" w:sz="0" w:space="0" w:color="auto"/>
        <w:right w:val="none" w:sz="0" w:space="0" w:color="auto"/>
      </w:divBdr>
    </w:div>
    <w:div w:id="1559633074">
      <w:bodyDiv w:val="1"/>
      <w:marLeft w:val="0"/>
      <w:marRight w:val="0"/>
      <w:marTop w:val="0"/>
      <w:marBottom w:val="0"/>
      <w:divBdr>
        <w:top w:val="none" w:sz="0" w:space="0" w:color="auto"/>
        <w:left w:val="none" w:sz="0" w:space="0" w:color="auto"/>
        <w:bottom w:val="none" w:sz="0" w:space="0" w:color="auto"/>
        <w:right w:val="none" w:sz="0" w:space="0" w:color="auto"/>
      </w:divBdr>
    </w:div>
    <w:div w:id="1588463755">
      <w:bodyDiv w:val="1"/>
      <w:marLeft w:val="0"/>
      <w:marRight w:val="0"/>
      <w:marTop w:val="0"/>
      <w:marBottom w:val="0"/>
      <w:divBdr>
        <w:top w:val="none" w:sz="0" w:space="0" w:color="auto"/>
        <w:left w:val="none" w:sz="0" w:space="0" w:color="auto"/>
        <w:bottom w:val="none" w:sz="0" w:space="0" w:color="auto"/>
        <w:right w:val="none" w:sz="0" w:space="0" w:color="auto"/>
      </w:divBdr>
    </w:div>
    <w:div w:id="1596015069">
      <w:bodyDiv w:val="1"/>
      <w:marLeft w:val="0"/>
      <w:marRight w:val="0"/>
      <w:marTop w:val="0"/>
      <w:marBottom w:val="0"/>
      <w:divBdr>
        <w:top w:val="none" w:sz="0" w:space="0" w:color="auto"/>
        <w:left w:val="none" w:sz="0" w:space="0" w:color="auto"/>
        <w:bottom w:val="none" w:sz="0" w:space="0" w:color="auto"/>
        <w:right w:val="none" w:sz="0" w:space="0" w:color="auto"/>
      </w:divBdr>
    </w:div>
    <w:div w:id="1629966428">
      <w:bodyDiv w:val="1"/>
      <w:marLeft w:val="0"/>
      <w:marRight w:val="0"/>
      <w:marTop w:val="0"/>
      <w:marBottom w:val="0"/>
      <w:divBdr>
        <w:top w:val="none" w:sz="0" w:space="0" w:color="auto"/>
        <w:left w:val="none" w:sz="0" w:space="0" w:color="auto"/>
        <w:bottom w:val="none" w:sz="0" w:space="0" w:color="auto"/>
        <w:right w:val="none" w:sz="0" w:space="0" w:color="auto"/>
      </w:divBdr>
    </w:div>
    <w:div w:id="1662924842">
      <w:bodyDiv w:val="1"/>
      <w:marLeft w:val="0"/>
      <w:marRight w:val="0"/>
      <w:marTop w:val="0"/>
      <w:marBottom w:val="0"/>
      <w:divBdr>
        <w:top w:val="none" w:sz="0" w:space="0" w:color="auto"/>
        <w:left w:val="none" w:sz="0" w:space="0" w:color="auto"/>
        <w:bottom w:val="none" w:sz="0" w:space="0" w:color="auto"/>
        <w:right w:val="none" w:sz="0" w:space="0" w:color="auto"/>
      </w:divBdr>
    </w:div>
    <w:div w:id="1671984178">
      <w:bodyDiv w:val="1"/>
      <w:marLeft w:val="0"/>
      <w:marRight w:val="0"/>
      <w:marTop w:val="0"/>
      <w:marBottom w:val="0"/>
      <w:divBdr>
        <w:top w:val="none" w:sz="0" w:space="0" w:color="auto"/>
        <w:left w:val="none" w:sz="0" w:space="0" w:color="auto"/>
        <w:bottom w:val="none" w:sz="0" w:space="0" w:color="auto"/>
        <w:right w:val="none" w:sz="0" w:space="0" w:color="auto"/>
      </w:divBdr>
    </w:div>
    <w:div w:id="1678380320">
      <w:bodyDiv w:val="1"/>
      <w:marLeft w:val="0"/>
      <w:marRight w:val="0"/>
      <w:marTop w:val="0"/>
      <w:marBottom w:val="0"/>
      <w:divBdr>
        <w:top w:val="none" w:sz="0" w:space="0" w:color="auto"/>
        <w:left w:val="none" w:sz="0" w:space="0" w:color="auto"/>
        <w:bottom w:val="none" w:sz="0" w:space="0" w:color="auto"/>
        <w:right w:val="none" w:sz="0" w:space="0" w:color="auto"/>
      </w:divBdr>
    </w:div>
    <w:div w:id="1685747117">
      <w:bodyDiv w:val="1"/>
      <w:marLeft w:val="0"/>
      <w:marRight w:val="0"/>
      <w:marTop w:val="0"/>
      <w:marBottom w:val="0"/>
      <w:divBdr>
        <w:top w:val="none" w:sz="0" w:space="0" w:color="auto"/>
        <w:left w:val="none" w:sz="0" w:space="0" w:color="auto"/>
        <w:bottom w:val="none" w:sz="0" w:space="0" w:color="auto"/>
        <w:right w:val="none" w:sz="0" w:space="0" w:color="auto"/>
      </w:divBdr>
    </w:div>
    <w:div w:id="1686445098">
      <w:bodyDiv w:val="1"/>
      <w:marLeft w:val="0"/>
      <w:marRight w:val="0"/>
      <w:marTop w:val="0"/>
      <w:marBottom w:val="0"/>
      <w:divBdr>
        <w:top w:val="none" w:sz="0" w:space="0" w:color="auto"/>
        <w:left w:val="none" w:sz="0" w:space="0" w:color="auto"/>
        <w:bottom w:val="none" w:sz="0" w:space="0" w:color="auto"/>
        <w:right w:val="none" w:sz="0" w:space="0" w:color="auto"/>
      </w:divBdr>
      <w:divsChild>
        <w:div w:id="643697777">
          <w:marLeft w:val="547"/>
          <w:marRight w:val="0"/>
          <w:marTop w:val="0"/>
          <w:marBottom w:val="0"/>
          <w:divBdr>
            <w:top w:val="none" w:sz="0" w:space="0" w:color="auto"/>
            <w:left w:val="none" w:sz="0" w:space="0" w:color="auto"/>
            <w:bottom w:val="none" w:sz="0" w:space="0" w:color="auto"/>
            <w:right w:val="none" w:sz="0" w:space="0" w:color="auto"/>
          </w:divBdr>
        </w:div>
        <w:div w:id="703286854">
          <w:marLeft w:val="547"/>
          <w:marRight w:val="0"/>
          <w:marTop w:val="0"/>
          <w:marBottom w:val="0"/>
          <w:divBdr>
            <w:top w:val="none" w:sz="0" w:space="0" w:color="auto"/>
            <w:left w:val="none" w:sz="0" w:space="0" w:color="auto"/>
            <w:bottom w:val="none" w:sz="0" w:space="0" w:color="auto"/>
            <w:right w:val="none" w:sz="0" w:space="0" w:color="auto"/>
          </w:divBdr>
        </w:div>
        <w:div w:id="761796961">
          <w:marLeft w:val="547"/>
          <w:marRight w:val="0"/>
          <w:marTop w:val="0"/>
          <w:marBottom w:val="0"/>
          <w:divBdr>
            <w:top w:val="none" w:sz="0" w:space="0" w:color="auto"/>
            <w:left w:val="none" w:sz="0" w:space="0" w:color="auto"/>
            <w:bottom w:val="none" w:sz="0" w:space="0" w:color="auto"/>
            <w:right w:val="none" w:sz="0" w:space="0" w:color="auto"/>
          </w:divBdr>
        </w:div>
        <w:div w:id="1007442979">
          <w:marLeft w:val="547"/>
          <w:marRight w:val="0"/>
          <w:marTop w:val="0"/>
          <w:marBottom w:val="0"/>
          <w:divBdr>
            <w:top w:val="none" w:sz="0" w:space="0" w:color="auto"/>
            <w:left w:val="none" w:sz="0" w:space="0" w:color="auto"/>
            <w:bottom w:val="none" w:sz="0" w:space="0" w:color="auto"/>
            <w:right w:val="none" w:sz="0" w:space="0" w:color="auto"/>
          </w:divBdr>
        </w:div>
        <w:div w:id="1020203136">
          <w:marLeft w:val="547"/>
          <w:marRight w:val="0"/>
          <w:marTop w:val="0"/>
          <w:marBottom w:val="0"/>
          <w:divBdr>
            <w:top w:val="none" w:sz="0" w:space="0" w:color="auto"/>
            <w:left w:val="none" w:sz="0" w:space="0" w:color="auto"/>
            <w:bottom w:val="none" w:sz="0" w:space="0" w:color="auto"/>
            <w:right w:val="none" w:sz="0" w:space="0" w:color="auto"/>
          </w:divBdr>
        </w:div>
        <w:div w:id="1238516782">
          <w:marLeft w:val="547"/>
          <w:marRight w:val="0"/>
          <w:marTop w:val="0"/>
          <w:marBottom w:val="0"/>
          <w:divBdr>
            <w:top w:val="none" w:sz="0" w:space="0" w:color="auto"/>
            <w:left w:val="none" w:sz="0" w:space="0" w:color="auto"/>
            <w:bottom w:val="none" w:sz="0" w:space="0" w:color="auto"/>
            <w:right w:val="none" w:sz="0" w:space="0" w:color="auto"/>
          </w:divBdr>
        </w:div>
        <w:div w:id="1343389061">
          <w:marLeft w:val="547"/>
          <w:marRight w:val="0"/>
          <w:marTop w:val="0"/>
          <w:marBottom w:val="0"/>
          <w:divBdr>
            <w:top w:val="none" w:sz="0" w:space="0" w:color="auto"/>
            <w:left w:val="none" w:sz="0" w:space="0" w:color="auto"/>
            <w:bottom w:val="none" w:sz="0" w:space="0" w:color="auto"/>
            <w:right w:val="none" w:sz="0" w:space="0" w:color="auto"/>
          </w:divBdr>
        </w:div>
        <w:div w:id="1421488562">
          <w:marLeft w:val="547"/>
          <w:marRight w:val="0"/>
          <w:marTop w:val="0"/>
          <w:marBottom w:val="0"/>
          <w:divBdr>
            <w:top w:val="none" w:sz="0" w:space="0" w:color="auto"/>
            <w:left w:val="none" w:sz="0" w:space="0" w:color="auto"/>
            <w:bottom w:val="none" w:sz="0" w:space="0" w:color="auto"/>
            <w:right w:val="none" w:sz="0" w:space="0" w:color="auto"/>
          </w:divBdr>
        </w:div>
        <w:div w:id="1479497973">
          <w:marLeft w:val="547"/>
          <w:marRight w:val="0"/>
          <w:marTop w:val="0"/>
          <w:marBottom w:val="0"/>
          <w:divBdr>
            <w:top w:val="none" w:sz="0" w:space="0" w:color="auto"/>
            <w:left w:val="none" w:sz="0" w:space="0" w:color="auto"/>
            <w:bottom w:val="none" w:sz="0" w:space="0" w:color="auto"/>
            <w:right w:val="none" w:sz="0" w:space="0" w:color="auto"/>
          </w:divBdr>
        </w:div>
        <w:div w:id="1665821284">
          <w:marLeft w:val="547"/>
          <w:marRight w:val="0"/>
          <w:marTop w:val="0"/>
          <w:marBottom w:val="0"/>
          <w:divBdr>
            <w:top w:val="none" w:sz="0" w:space="0" w:color="auto"/>
            <w:left w:val="none" w:sz="0" w:space="0" w:color="auto"/>
            <w:bottom w:val="none" w:sz="0" w:space="0" w:color="auto"/>
            <w:right w:val="none" w:sz="0" w:space="0" w:color="auto"/>
          </w:divBdr>
        </w:div>
        <w:div w:id="1799954929">
          <w:marLeft w:val="547"/>
          <w:marRight w:val="0"/>
          <w:marTop w:val="0"/>
          <w:marBottom w:val="0"/>
          <w:divBdr>
            <w:top w:val="none" w:sz="0" w:space="0" w:color="auto"/>
            <w:left w:val="none" w:sz="0" w:space="0" w:color="auto"/>
            <w:bottom w:val="none" w:sz="0" w:space="0" w:color="auto"/>
            <w:right w:val="none" w:sz="0" w:space="0" w:color="auto"/>
          </w:divBdr>
        </w:div>
        <w:div w:id="1944728862">
          <w:marLeft w:val="547"/>
          <w:marRight w:val="0"/>
          <w:marTop w:val="0"/>
          <w:marBottom w:val="0"/>
          <w:divBdr>
            <w:top w:val="none" w:sz="0" w:space="0" w:color="auto"/>
            <w:left w:val="none" w:sz="0" w:space="0" w:color="auto"/>
            <w:bottom w:val="none" w:sz="0" w:space="0" w:color="auto"/>
            <w:right w:val="none" w:sz="0" w:space="0" w:color="auto"/>
          </w:divBdr>
        </w:div>
      </w:divsChild>
    </w:div>
    <w:div w:id="1727220653">
      <w:bodyDiv w:val="1"/>
      <w:marLeft w:val="0"/>
      <w:marRight w:val="0"/>
      <w:marTop w:val="0"/>
      <w:marBottom w:val="0"/>
      <w:divBdr>
        <w:top w:val="none" w:sz="0" w:space="0" w:color="auto"/>
        <w:left w:val="none" w:sz="0" w:space="0" w:color="auto"/>
        <w:bottom w:val="none" w:sz="0" w:space="0" w:color="auto"/>
        <w:right w:val="none" w:sz="0" w:space="0" w:color="auto"/>
      </w:divBdr>
    </w:div>
    <w:div w:id="1747721509">
      <w:bodyDiv w:val="1"/>
      <w:marLeft w:val="0"/>
      <w:marRight w:val="0"/>
      <w:marTop w:val="0"/>
      <w:marBottom w:val="0"/>
      <w:divBdr>
        <w:top w:val="none" w:sz="0" w:space="0" w:color="auto"/>
        <w:left w:val="none" w:sz="0" w:space="0" w:color="auto"/>
        <w:bottom w:val="none" w:sz="0" w:space="0" w:color="auto"/>
        <w:right w:val="none" w:sz="0" w:space="0" w:color="auto"/>
      </w:divBdr>
    </w:div>
    <w:div w:id="1807550546">
      <w:bodyDiv w:val="1"/>
      <w:marLeft w:val="0"/>
      <w:marRight w:val="0"/>
      <w:marTop w:val="0"/>
      <w:marBottom w:val="0"/>
      <w:divBdr>
        <w:top w:val="none" w:sz="0" w:space="0" w:color="auto"/>
        <w:left w:val="none" w:sz="0" w:space="0" w:color="auto"/>
        <w:bottom w:val="none" w:sz="0" w:space="0" w:color="auto"/>
        <w:right w:val="none" w:sz="0" w:space="0" w:color="auto"/>
      </w:divBdr>
    </w:div>
    <w:div w:id="1819150491">
      <w:bodyDiv w:val="1"/>
      <w:marLeft w:val="0"/>
      <w:marRight w:val="0"/>
      <w:marTop w:val="0"/>
      <w:marBottom w:val="0"/>
      <w:divBdr>
        <w:top w:val="none" w:sz="0" w:space="0" w:color="auto"/>
        <w:left w:val="none" w:sz="0" w:space="0" w:color="auto"/>
        <w:bottom w:val="none" w:sz="0" w:space="0" w:color="auto"/>
        <w:right w:val="none" w:sz="0" w:space="0" w:color="auto"/>
      </w:divBdr>
    </w:div>
    <w:div w:id="1840925152">
      <w:bodyDiv w:val="1"/>
      <w:marLeft w:val="0"/>
      <w:marRight w:val="0"/>
      <w:marTop w:val="0"/>
      <w:marBottom w:val="0"/>
      <w:divBdr>
        <w:top w:val="none" w:sz="0" w:space="0" w:color="auto"/>
        <w:left w:val="none" w:sz="0" w:space="0" w:color="auto"/>
        <w:bottom w:val="none" w:sz="0" w:space="0" w:color="auto"/>
        <w:right w:val="none" w:sz="0" w:space="0" w:color="auto"/>
      </w:divBdr>
    </w:div>
    <w:div w:id="1857308377">
      <w:bodyDiv w:val="1"/>
      <w:marLeft w:val="0"/>
      <w:marRight w:val="0"/>
      <w:marTop w:val="0"/>
      <w:marBottom w:val="0"/>
      <w:divBdr>
        <w:top w:val="none" w:sz="0" w:space="0" w:color="auto"/>
        <w:left w:val="none" w:sz="0" w:space="0" w:color="auto"/>
        <w:bottom w:val="none" w:sz="0" w:space="0" w:color="auto"/>
        <w:right w:val="none" w:sz="0" w:space="0" w:color="auto"/>
      </w:divBdr>
    </w:div>
    <w:div w:id="1876848259">
      <w:bodyDiv w:val="1"/>
      <w:marLeft w:val="0"/>
      <w:marRight w:val="0"/>
      <w:marTop w:val="0"/>
      <w:marBottom w:val="0"/>
      <w:divBdr>
        <w:top w:val="none" w:sz="0" w:space="0" w:color="auto"/>
        <w:left w:val="none" w:sz="0" w:space="0" w:color="auto"/>
        <w:bottom w:val="none" w:sz="0" w:space="0" w:color="auto"/>
        <w:right w:val="none" w:sz="0" w:space="0" w:color="auto"/>
      </w:divBdr>
    </w:div>
    <w:div w:id="1889026671">
      <w:bodyDiv w:val="1"/>
      <w:marLeft w:val="0"/>
      <w:marRight w:val="0"/>
      <w:marTop w:val="0"/>
      <w:marBottom w:val="0"/>
      <w:divBdr>
        <w:top w:val="none" w:sz="0" w:space="0" w:color="auto"/>
        <w:left w:val="none" w:sz="0" w:space="0" w:color="auto"/>
        <w:bottom w:val="none" w:sz="0" w:space="0" w:color="auto"/>
        <w:right w:val="none" w:sz="0" w:space="0" w:color="auto"/>
      </w:divBdr>
    </w:div>
    <w:div w:id="1946692271">
      <w:bodyDiv w:val="1"/>
      <w:marLeft w:val="0"/>
      <w:marRight w:val="0"/>
      <w:marTop w:val="0"/>
      <w:marBottom w:val="0"/>
      <w:divBdr>
        <w:top w:val="none" w:sz="0" w:space="0" w:color="auto"/>
        <w:left w:val="none" w:sz="0" w:space="0" w:color="auto"/>
        <w:bottom w:val="none" w:sz="0" w:space="0" w:color="auto"/>
        <w:right w:val="none" w:sz="0" w:space="0" w:color="auto"/>
      </w:divBdr>
    </w:div>
    <w:div w:id="1951163701">
      <w:bodyDiv w:val="1"/>
      <w:marLeft w:val="0"/>
      <w:marRight w:val="0"/>
      <w:marTop w:val="0"/>
      <w:marBottom w:val="0"/>
      <w:divBdr>
        <w:top w:val="none" w:sz="0" w:space="0" w:color="auto"/>
        <w:left w:val="none" w:sz="0" w:space="0" w:color="auto"/>
        <w:bottom w:val="none" w:sz="0" w:space="0" w:color="auto"/>
        <w:right w:val="none" w:sz="0" w:space="0" w:color="auto"/>
      </w:divBdr>
    </w:div>
    <w:div w:id="1969309888">
      <w:bodyDiv w:val="1"/>
      <w:marLeft w:val="0"/>
      <w:marRight w:val="0"/>
      <w:marTop w:val="0"/>
      <w:marBottom w:val="0"/>
      <w:divBdr>
        <w:top w:val="none" w:sz="0" w:space="0" w:color="auto"/>
        <w:left w:val="none" w:sz="0" w:space="0" w:color="auto"/>
        <w:bottom w:val="none" w:sz="0" w:space="0" w:color="auto"/>
        <w:right w:val="none" w:sz="0" w:space="0" w:color="auto"/>
      </w:divBdr>
    </w:div>
    <w:div w:id="1984921545">
      <w:bodyDiv w:val="1"/>
      <w:marLeft w:val="0"/>
      <w:marRight w:val="0"/>
      <w:marTop w:val="0"/>
      <w:marBottom w:val="0"/>
      <w:divBdr>
        <w:top w:val="none" w:sz="0" w:space="0" w:color="auto"/>
        <w:left w:val="none" w:sz="0" w:space="0" w:color="auto"/>
        <w:bottom w:val="none" w:sz="0" w:space="0" w:color="auto"/>
        <w:right w:val="none" w:sz="0" w:space="0" w:color="auto"/>
      </w:divBdr>
    </w:div>
    <w:div w:id="1994676183">
      <w:bodyDiv w:val="1"/>
      <w:marLeft w:val="0"/>
      <w:marRight w:val="0"/>
      <w:marTop w:val="0"/>
      <w:marBottom w:val="0"/>
      <w:divBdr>
        <w:top w:val="none" w:sz="0" w:space="0" w:color="auto"/>
        <w:left w:val="none" w:sz="0" w:space="0" w:color="auto"/>
        <w:bottom w:val="none" w:sz="0" w:space="0" w:color="auto"/>
        <w:right w:val="none" w:sz="0" w:space="0" w:color="auto"/>
      </w:divBdr>
    </w:div>
    <w:div w:id="2033341303">
      <w:bodyDiv w:val="1"/>
      <w:marLeft w:val="0"/>
      <w:marRight w:val="0"/>
      <w:marTop w:val="0"/>
      <w:marBottom w:val="0"/>
      <w:divBdr>
        <w:top w:val="none" w:sz="0" w:space="0" w:color="auto"/>
        <w:left w:val="none" w:sz="0" w:space="0" w:color="auto"/>
        <w:bottom w:val="none" w:sz="0" w:space="0" w:color="auto"/>
        <w:right w:val="none" w:sz="0" w:space="0" w:color="auto"/>
      </w:divBdr>
    </w:div>
    <w:div w:id="2053460699">
      <w:bodyDiv w:val="1"/>
      <w:marLeft w:val="0"/>
      <w:marRight w:val="0"/>
      <w:marTop w:val="0"/>
      <w:marBottom w:val="0"/>
      <w:divBdr>
        <w:top w:val="none" w:sz="0" w:space="0" w:color="auto"/>
        <w:left w:val="none" w:sz="0" w:space="0" w:color="auto"/>
        <w:bottom w:val="none" w:sz="0" w:space="0" w:color="auto"/>
        <w:right w:val="none" w:sz="0" w:space="0" w:color="auto"/>
      </w:divBdr>
    </w:div>
    <w:div w:id="2079475241">
      <w:bodyDiv w:val="1"/>
      <w:marLeft w:val="0"/>
      <w:marRight w:val="0"/>
      <w:marTop w:val="0"/>
      <w:marBottom w:val="0"/>
      <w:divBdr>
        <w:top w:val="none" w:sz="0" w:space="0" w:color="auto"/>
        <w:left w:val="none" w:sz="0" w:space="0" w:color="auto"/>
        <w:bottom w:val="none" w:sz="0" w:space="0" w:color="auto"/>
        <w:right w:val="none" w:sz="0" w:space="0" w:color="auto"/>
      </w:divBdr>
    </w:div>
    <w:div w:id="2081710711">
      <w:bodyDiv w:val="1"/>
      <w:marLeft w:val="0"/>
      <w:marRight w:val="0"/>
      <w:marTop w:val="0"/>
      <w:marBottom w:val="0"/>
      <w:divBdr>
        <w:top w:val="none" w:sz="0" w:space="0" w:color="auto"/>
        <w:left w:val="none" w:sz="0" w:space="0" w:color="auto"/>
        <w:bottom w:val="none" w:sz="0" w:space="0" w:color="auto"/>
        <w:right w:val="none" w:sz="0" w:space="0" w:color="auto"/>
      </w:divBdr>
    </w:div>
    <w:div w:id="2108378399">
      <w:bodyDiv w:val="1"/>
      <w:marLeft w:val="0"/>
      <w:marRight w:val="0"/>
      <w:marTop w:val="0"/>
      <w:marBottom w:val="0"/>
      <w:divBdr>
        <w:top w:val="none" w:sz="0" w:space="0" w:color="auto"/>
        <w:left w:val="none" w:sz="0" w:space="0" w:color="auto"/>
        <w:bottom w:val="none" w:sz="0" w:space="0" w:color="auto"/>
        <w:right w:val="none" w:sz="0" w:space="0" w:color="auto"/>
      </w:divBdr>
    </w:div>
    <w:div w:id="2111119859">
      <w:bodyDiv w:val="1"/>
      <w:marLeft w:val="0"/>
      <w:marRight w:val="0"/>
      <w:marTop w:val="0"/>
      <w:marBottom w:val="0"/>
      <w:divBdr>
        <w:top w:val="none" w:sz="0" w:space="0" w:color="auto"/>
        <w:left w:val="none" w:sz="0" w:space="0" w:color="auto"/>
        <w:bottom w:val="none" w:sz="0" w:space="0" w:color="auto"/>
        <w:right w:val="none" w:sz="0" w:space="0" w:color="auto"/>
      </w:divBdr>
    </w:div>
    <w:div w:id="213162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4728570B84B47918350012E513FFD" ma:contentTypeVersion="0" ma:contentTypeDescription="Create a new document." ma:contentTypeScope="" ma:versionID="30c9cb26f4e7a3c7eae48d8d4949636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A4728570B84B47918350012E513FFD" ma:contentTypeVersion="0" ma:contentTypeDescription="Create a new document." ma:contentTypeScope="" ma:versionID="30c9cb26f4e7a3c7eae48d8d4949636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C1D21-B4A0-4CB7-98D2-A32E1B844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E87D1E2-C728-4CFE-A5AA-EE58A910F34A}">
  <ds:schemaRefs>
    <ds:schemaRef ds:uri="http://schemas.microsoft.com/sharepoint/v3/contenttype/forms"/>
  </ds:schemaRefs>
</ds:datastoreItem>
</file>

<file path=customXml/itemProps3.xml><?xml version="1.0" encoding="utf-8"?>
<ds:datastoreItem xmlns:ds="http://schemas.openxmlformats.org/officeDocument/2006/customXml" ds:itemID="{6D423FA7-8CAF-4687-AA7E-000C2C6F1970}">
  <ds:schemaRefs>
    <ds:schemaRef ds:uri="http://purl.org/dc/terms/"/>
    <ds:schemaRef ds:uri="http://purl.org/dc/dcmitype/"/>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6FD74808-BDAA-4FC5-96F6-8980B1473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6C23369-12F4-452E-AB69-D30A92894584}">
  <ds:schemaRefs>
    <ds:schemaRef ds:uri="http://schemas.openxmlformats.org/officeDocument/2006/bibliography"/>
  </ds:schemaRefs>
</ds:datastoreItem>
</file>

<file path=customXml/itemProps6.xml><?xml version="1.0" encoding="utf-8"?>
<ds:datastoreItem xmlns:ds="http://schemas.openxmlformats.org/officeDocument/2006/customXml" ds:itemID="{516DA088-F289-4FD9-9E99-27B26452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14</Pages>
  <Words>3315</Words>
  <Characters>18900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22171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Hunter, Todd [USA]</dc:creator>
  <cp:lastModifiedBy>Range CIV Jeromy V</cp:lastModifiedBy>
  <cp:revision>10</cp:revision>
  <cp:lastPrinted>2014-04-29T13:17:00Z</cp:lastPrinted>
  <dcterms:created xsi:type="dcterms:W3CDTF">2014-04-14T12:10:00Z</dcterms:created>
  <dcterms:modified xsi:type="dcterms:W3CDTF">2014-05-28T18:41:00Z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0x01010012A4728570B84B47918350012E513FFD</vt:lpwstr>
  </property>
  <property fmtid="{D5CDD505-2E9C-101B-9397-08002B2CF9AE}" pid="3" name="Process">
    <vt:lpwstr>WOM_OverallProcess</vt:lpwstr>
  </property>
  <property fmtid="{D5CDD505-2E9C-101B-9397-08002B2CF9AE}" pid="4" name="Installation">
    <vt:lpwstr>SURVIAC</vt:lpwstr>
  </property>
</Properties>
</file>